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F8" w:rsidRPr="008816F8" w:rsidRDefault="008816F8" w:rsidP="008816F8">
      <w:pPr>
        <w:spacing w:after="0" w:line="240" w:lineRule="auto"/>
        <w:rPr>
          <w:rFonts w:ascii="Arial" w:eastAsia="Times New Roman" w:hAnsi="Arial" w:cs="Arial"/>
          <w:b/>
          <w:noProof/>
          <w:sz w:val="20"/>
          <w:szCs w:val="20"/>
          <w:lang w:eastAsia="tr-TR"/>
        </w:rPr>
      </w:pPr>
      <w:r w:rsidRPr="008816F8">
        <w:rPr>
          <w:rFonts w:ascii="Arial" w:hAnsi="Arial" w:cs="Arial"/>
          <w:b/>
          <w:sz w:val="20"/>
          <w:szCs w:val="20"/>
          <w:u w:val="single"/>
        </w:rPr>
        <w:t>Başbakanlık (Hazine Müsteşarlığı)’tan:</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w:t>
      </w:r>
      <w:r w:rsidRPr="008816F8">
        <w:rPr>
          <w:rFonts w:ascii="Arial" w:eastAsia="Times New Roman" w:hAnsi="Arial" w:cs="Arial"/>
          <w:b/>
          <w:noProof/>
          <w:sz w:val="20"/>
          <w:szCs w:val="20"/>
          <w:lang w:eastAsia="tr-TR"/>
        </w:rPr>
        <w:tab/>
        <w:t xml:space="preserve">                        30.11.2015</w:t>
      </w:r>
    </w:p>
    <w:p w:rsidR="008816F8" w:rsidRPr="008816F8" w:rsidRDefault="008816F8" w:rsidP="008816F8">
      <w:pPr>
        <w:tabs>
          <w:tab w:val="left" w:pos="1410"/>
        </w:tabs>
        <w:spacing w:after="0" w:line="240" w:lineRule="auto"/>
        <w:ind w:firstLine="567"/>
        <w:rPr>
          <w:rFonts w:ascii="Arial" w:eastAsia="Times New Roman" w:hAnsi="Arial" w:cs="Arial"/>
          <w:noProof/>
          <w:sz w:val="20"/>
          <w:szCs w:val="20"/>
          <w:lang w:eastAsia="tr-TR"/>
        </w:rPr>
      </w:pPr>
      <w:r w:rsidRPr="008816F8">
        <w:rPr>
          <w:rFonts w:ascii="Arial" w:eastAsia="Times New Roman" w:hAnsi="Arial" w:cs="Arial"/>
          <w:noProof/>
          <w:sz w:val="20"/>
          <w:szCs w:val="20"/>
          <w:lang w:eastAsia="tr-TR"/>
        </w:rPr>
        <w:tab/>
      </w:r>
    </w:p>
    <w:p w:rsidR="008816F8" w:rsidRPr="008816F8" w:rsidRDefault="008816F8" w:rsidP="008816F8">
      <w:pPr>
        <w:tabs>
          <w:tab w:val="left" w:pos="1410"/>
        </w:tabs>
        <w:spacing w:after="0" w:line="240" w:lineRule="auto"/>
        <w:ind w:firstLine="567"/>
        <w:rPr>
          <w:rFonts w:ascii="Arial" w:eastAsia="Times New Roman" w:hAnsi="Arial" w:cs="Arial"/>
          <w:noProof/>
          <w:sz w:val="20"/>
          <w:szCs w:val="20"/>
          <w:lang w:eastAsia="tr-TR"/>
        </w:rPr>
      </w:pPr>
    </w:p>
    <w:p w:rsidR="008816F8" w:rsidRPr="008816F8" w:rsidRDefault="008816F8" w:rsidP="008816F8">
      <w:pPr>
        <w:spacing w:after="0" w:line="240" w:lineRule="auto"/>
        <w:ind w:firstLine="567"/>
        <w:jc w:val="center"/>
        <w:rPr>
          <w:rFonts w:ascii="Arial" w:eastAsia="Times New Roman" w:hAnsi="Arial" w:cs="Arial"/>
          <w:b/>
          <w:noProof/>
          <w:sz w:val="20"/>
          <w:szCs w:val="20"/>
          <w:lang w:eastAsia="tr-TR"/>
        </w:rPr>
      </w:pPr>
      <w:r w:rsidRPr="008816F8">
        <w:rPr>
          <w:rFonts w:ascii="Arial" w:hAnsi="Arial" w:cs="Arial"/>
          <w:b/>
          <w:sz w:val="20"/>
          <w:szCs w:val="20"/>
        </w:rPr>
        <w:t>BİREYSEL EMEKLİLİK SİSTEMİ HAKKINDA YÖNETMELİKTE DEĞİŞİKLİK YAPILMASINA DAİR YÖNETMELİĞİN</w:t>
      </w:r>
      <w:r w:rsidRPr="008816F8">
        <w:rPr>
          <w:rFonts w:ascii="Arial" w:eastAsia="Times New Roman" w:hAnsi="Arial" w:cs="Arial"/>
          <w:b/>
          <w:noProof/>
          <w:sz w:val="20"/>
          <w:szCs w:val="20"/>
          <w:lang w:eastAsia="tr-TR"/>
        </w:rPr>
        <w:t xml:space="preserve"> UYGULANMASINA İLİŞKİN GENELGE (2015/50) </w:t>
      </w:r>
    </w:p>
    <w:p w:rsidR="008816F8" w:rsidRPr="008816F8" w:rsidRDefault="008816F8" w:rsidP="008816F8">
      <w:pPr>
        <w:spacing w:after="0" w:line="240" w:lineRule="auto"/>
        <w:ind w:firstLine="567"/>
        <w:jc w:val="both"/>
        <w:rPr>
          <w:rFonts w:ascii="Arial" w:eastAsia="Times New Roman" w:hAnsi="Arial" w:cs="Arial"/>
          <w:noProof/>
          <w:sz w:val="20"/>
          <w:szCs w:val="20"/>
          <w:lang w:eastAsia="tr-TR"/>
        </w:rPr>
      </w:pPr>
    </w:p>
    <w:p w:rsidR="008816F8" w:rsidRPr="008816F8" w:rsidRDefault="008816F8" w:rsidP="008816F8">
      <w:pPr>
        <w:spacing w:after="0" w:line="240" w:lineRule="auto"/>
        <w:ind w:firstLine="567"/>
        <w:jc w:val="both"/>
        <w:rPr>
          <w:rFonts w:ascii="Arial" w:hAnsi="Arial" w:cs="Arial"/>
          <w:kern w:val="20"/>
          <w:sz w:val="20"/>
          <w:szCs w:val="20"/>
        </w:rPr>
      </w:pPr>
      <w:r w:rsidRPr="008816F8">
        <w:rPr>
          <w:rFonts w:ascii="Arial" w:hAnsi="Arial" w:cs="Arial"/>
          <w:kern w:val="20"/>
          <w:sz w:val="20"/>
          <w:szCs w:val="20"/>
        </w:rPr>
        <w:t xml:space="preserve">Bu Genelge, </w:t>
      </w:r>
      <w:r w:rsidRPr="008816F8">
        <w:rPr>
          <w:rFonts w:ascii="Arial" w:hAnsi="Arial" w:cs="Arial"/>
          <w:sz w:val="20"/>
          <w:szCs w:val="20"/>
          <w:lang w:eastAsia="tr-TR"/>
        </w:rPr>
        <w:t xml:space="preserve">25.05.2015 tarih ve 29366 sayılı Resmi </w:t>
      </w:r>
      <w:proofErr w:type="spellStart"/>
      <w:r w:rsidRPr="008816F8">
        <w:rPr>
          <w:rFonts w:ascii="Arial" w:hAnsi="Arial" w:cs="Arial"/>
          <w:sz w:val="20"/>
          <w:szCs w:val="20"/>
          <w:lang w:eastAsia="tr-TR"/>
        </w:rPr>
        <w:t>Gazete’de</w:t>
      </w:r>
      <w:proofErr w:type="spellEnd"/>
      <w:r w:rsidRPr="008816F8">
        <w:rPr>
          <w:rFonts w:ascii="Arial" w:hAnsi="Arial" w:cs="Arial"/>
          <w:kern w:val="20"/>
          <w:sz w:val="20"/>
          <w:szCs w:val="20"/>
        </w:rPr>
        <w:t xml:space="preserve"> yayımlanan ve 01.01.2016 tarihinde yürürlüğe girecek olan </w:t>
      </w:r>
      <w:r w:rsidRPr="008816F8">
        <w:rPr>
          <w:rFonts w:ascii="Arial" w:hAnsi="Arial" w:cs="Arial"/>
          <w:sz w:val="20"/>
          <w:szCs w:val="20"/>
        </w:rPr>
        <w:t xml:space="preserve">Bireysel Emeklilik Sistemi Hakkında Yönetmelikte Değişiklik Yapılmasına Dair </w:t>
      </w:r>
      <w:r w:rsidRPr="008816F8">
        <w:rPr>
          <w:rFonts w:ascii="Arial" w:hAnsi="Arial" w:cs="Arial"/>
          <w:kern w:val="20"/>
          <w:sz w:val="20"/>
          <w:szCs w:val="20"/>
        </w:rPr>
        <w:t xml:space="preserve">Yönetmelikte (“Yönetmelik”) yer alan bazı hususlara </w:t>
      </w:r>
      <w:r w:rsidRPr="008816F8">
        <w:rPr>
          <w:rFonts w:ascii="Arial" w:hAnsi="Arial" w:cs="Arial"/>
          <w:sz w:val="20"/>
          <w:szCs w:val="20"/>
        </w:rPr>
        <w:t>ilişkin uygulama esas ve usullerini açıklamak üzere hazırlanmıştır.</w:t>
      </w: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3"/>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Yönetmeliğe ilişkin genel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numPr>
          <w:ilvl w:val="0"/>
          <w:numId w:val="7"/>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Yönetmelik hükümleri, devlet katkısının yatırıma yönlendirildiği fonlar hariç olmak üzere tüm fonlar ile 01.01.2016 tarihinden sonra yürürlüğe girecek sözleşmelerin yanı sıra, bu tarihten önce yürürlüğe girmiş olan ve </w:t>
      </w:r>
      <w:r w:rsidRPr="008816F8">
        <w:rPr>
          <w:rFonts w:ascii="Arial" w:eastAsia="ヒラギノ明朝 Pro W3" w:hAnsi="Arial" w:cs="Arial"/>
          <w:sz w:val="20"/>
          <w:szCs w:val="20"/>
          <w:lang w:eastAsia="tr-TR"/>
        </w:rPr>
        <w:t>bu tarih itibarıyla halen yürürlükte bulunan</w:t>
      </w:r>
      <w:r w:rsidRPr="008816F8">
        <w:rPr>
          <w:rFonts w:ascii="Arial" w:eastAsia="Times New Roman" w:hAnsi="Arial" w:cs="Arial"/>
          <w:sz w:val="20"/>
          <w:szCs w:val="20"/>
          <w:lang w:eastAsia="tr-TR"/>
        </w:rPr>
        <w:t xml:space="preserve"> sözleşmeleri de kapsamaktadır. Bu çerçevede, 01.01.2016 tarihinden önce ayrılma talebi şirkete ulaşmış fakat 01.01.2016 tarihi itibarıyla henüz sonlanmamış olan sözleşmeler de Yönetmelik hükümleri kapsamında değerlendirilecektir. (</w:t>
      </w:r>
      <w:r w:rsidRPr="008816F8" w:rsidDel="00DD5E6C">
        <w:rPr>
          <w:rFonts w:ascii="Arial" w:eastAsia="Times New Roman" w:hAnsi="Arial" w:cs="Arial"/>
          <w:sz w:val="20"/>
          <w:szCs w:val="20"/>
          <w:lang w:eastAsia="tr-TR"/>
        </w:rPr>
        <w:t>Katılımcının sözleşmesine ait fon paylarına (devlet katkısı fon payları dâhil) ilişkin son satım talimatının verildiği tarih, sözleşmenin sonlandığı tarih olarak kabul edilir.</w:t>
      </w:r>
      <w:r w:rsidRPr="008816F8">
        <w:rPr>
          <w:rFonts w:ascii="Arial" w:eastAsia="Times New Roman" w:hAnsi="Arial" w:cs="Arial"/>
          <w:sz w:val="20"/>
          <w:szCs w:val="20"/>
          <w:lang w:eastAsia="tr-TR"/>
        </w:rPr>
        <w:t>)</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8816F8" w:rsidP="008816F8">
      <w:pPr>
        <w:numPr>
          <w:ilvl w:val="0"/>
          <w:numId w:val="7"/>
        </w:numPr>
        <w:spacing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Yönetmelik ile sistemde yer alan kesinti yapısı revize edilmekte olup, özel hukuk hükümleri kapsamında katılımcılara sağlanan ek menfaatler (ek fayda gibi), Yönetmelik ile bu Genelgenin kapsamında değildir.</w:t>
      </w:r>
    </w:p>
    <w:p w:rsidR="008816F8" w:rsidRPr="008816F8" w:rsidRDefault="008816F8" w:rsidP="008816F8">
      <w:pPr>
        <w:numPr>
          <w:ilvl w:val="0"/>
          <w:numId w:val="7"/>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Yönetmelik çerçevesinde şirketler, sözleşmedeki devlet katkısı tutarı ile ilişkilendirilen kesinti üst sınır kontrolünü yapmaya 01.01.2021 tarihinden itibaren başlayacaklardır.</w:t>
      </w: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Düzensiz ödemeye ilişkin açıklamalar</w:t>
      </w:r>
    </w:p>
    <w:p w:rsidR="008816F8" w:rsidRPr="008816F8" w:rsidRDefault="008816F8" w:rsidP="008816F8">
      <w:pPr>
        <w:spacing w:after="0" w:line="240" w:lineRule="auto"/>
        <w:ind w:firstLine="567"/>
        <w:jc w:val="both"/>
        <w:rPr>
          <w:rFonts w:ascii="Arial" w:eastAsia="Times New Roman" w:hAnsi="Arial" w:cs="Arial"/>
          <w:sz w:val="20"/>
          <w:szCs w:val="20"/>
          <w:lang w:eastAsia="tr-TR"/>
        </w:rPr>
      </w:pPr>
    </w:p>
    <w:p w:rsidR="008816F8" w:rsidRPr="008816F8" w:rsidRDefault="008816F8" w:rsidP="008816F8">
      <w:pPr>
        <w:pStyle w:val="ListeParagraf"/>
        <w:numPr>
          <w:ilvl w:val="0"/>
          <w:numId w:val="1"/>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 </w:t>
      </w:r>
    </w:p>
    <w:p w:rsidR="008816F8" w:rsidRPr="008816F8" w:rsidRDefault="008816F8" w:rsidP="008816F8">
      <w:pPr>
        <w:pStyle w:val="ListeParagraf"/>
        <w:ind w:left="0"/>
        <w:rPr>
          <w:rFonts w:ascii="Arial" w:eastAsia="Times New Roman" w:hAnsi="Arial" w:cs="Arial"/>
          <w:sz w:val="20"/>
          <w:szCs w:val="20"/>
          <w:lang w:eastAsia="tr-TR"/>
        </w:rPr>
      </w:pPr>
    </w:p>
    <w:p w:rsidR="008816F8" w:rsidRPr="008816F8" w:rsidRDefault="008816F8" w:rsidP="008816F8">
      <w:pPr>
        <w:pStyle w:val="ListeParagraf"/>
        <w:numPr>
          <w:ilvl w:val="0"/>
          <w:numId w:val="1"/>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 </w:t>
      </w:r>
    </w:p>
    <w:p w:rsidR="008816F8" w:rsidRPr="008816F8" w:rsidRDefault="008816F8" w:rsidP="008816F8">
      <w:pPr>
        <w:pStyle w:val="ListeParagraf"/>
        <w:tabs>
          <w:tab w:val="left" w:pos="851"/>
          <w:tab w:val="left" w:pos="993"/>
        </w:tabs>
        <w:spacing w:after="0" w:line="240" w:lineRule="auto"/>
        <w:ind w:left="0"/>
        <w:jc w:val="both"/>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Kesintilere yönelik üst sınıra ilişkin açıklamalar</w:t>
      </w:r>
    </w:p>
    <w:p w:rsidR="008816F8" w:rsidRPr="008816F8" w:rsidRDefault="008816F8" w:rsidP="008816F8">
      <w:pPr>
        <w:pStyle w:val="ListeParagraf"/>
        <w:tabs>
          <w:tab w:val="left" w:pos="851"/>
          <w:tab w:val="left" w:pos="993"/>
        </w:tabs>
        <w:spacing w:after="0" w:line="240" w:lineRule="auto"/>
        <w:ind w:left="0"/>
        <w:jc w:val="both"/>
        <w:rPr>
          <w:rFonts w:ascii="Arial" w:eastAsia="Times New Roman" w:hAnsi="Arial" w:cs="Arial"/>
          <w:b/>
          <w:sz w:val="20"/>
          <w:szCs w:val="20"/>
          <w:lang w:eastAsia="tr-TR"/>
        </w:rPr>
      </w:pPr>
    </w:p>
    <w:p w:rsidR="008816F8" w:rsidRPr="008816F8" w:rsidRDefault="008816F8" w:rsidP="008816F8">
      <w:pPr>
        <w:numPr>
          <w:ilvl w:val="0"/>
          <w:numId w:val="6"/>
        </w:numPr>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kesintilere ilişkin üst sınırlara yönelik kontrollere ilişkin süre hesabında, </w:t>
      </w:r>
      <w:r w:rsidRPr="008816F8">
        <w:rPr>
          <w:rFonts w:ascii="Arial" w:eastAsia="ヒラギノ明朝 Pro W3" w:hAnsi="Arial" w:cs="Arial"/>
          <w:sz w:val="20"/>
          <w:szCs w:val="20"/>
          <w:lang w:eastAsia="tr-TR"/>
        </w:rPr>
        <w:t xml:space="preserve">kontrole tabi olan sözleşmede geçirilen süre esas alınır. </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lastRenderedPageBreak/>
        <w:t xml:space="preserve"> Sözleşmede geçirilen süre hesabında, sözleşme bilgilerine ilişkin transfer verilerine göre ilk sözleşmenin sisteme giriş tarihinden itibaren ilgili sözleşmede geçirilen tüm süreler dikkate alınır.</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8816F8" w:rsidRPr="008816F8" w:rsidRDefault="008816F8" w:rsidP="008816F8">
      <w:pPr>
        <w:tabs>
          <w:tab w:val="left" w:pos="709"/>
        </w:tabs>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Diğer taraftan, bireysel emeklilik sistemine hayat sigortalarından yapılanlar </w:t>
      </w:r>
      <w:proofErr w:type="gramStart"/>
      <w:r w:rsidRPr="008816F8">
        <w:rPr>
          <w:rFonts w:ascii="Arial" w:eastAsia="ヒラギノ明朝 Pro W3" w:hAnsi="Arial" w:cs="Arial"/>
          <w:sz w:val="20"/>
          <w:szCs w:val="20"/>
          <w:lang w:eastAsia="tr-TR"/>
        </w:rPr>
        <w:t>dahil</w:t>
      </w:r>
      <w:proofErr w:type="gramEnd"/>
      <w:r w:rsidRPr="008816F8">
        <w:rPr>
          <w:rFonts w:ascii="Arial" w:eastAsia="ヒラギノ明朝 Pro W3" w:hAnsi="Arial" w:cs="Arial"/>
          <w:sz w:val="20"/>
          <w:szCs w:val="20"/>
          <w:lang w:eastAsia="tr-TR"/>
        </w:rPr>
        <w:t xml:space="preserve"> 4632 sayılı Kanunun Geçici 1 inci maddesi kapsamında yapılan aktarımlarda, fiilen bireysel emeklilik sistemi dışında geçirilen süreler dikkate alınmaz. </w:t>
      </w:r>
      <w:r w:rsidRPr="008816F8" w:rsidDel="00F63193">
        <w:rPr>
          <w:rFonts w:ascii="Arial" w:eastAsia="ヒラギノ明朝 Pro W3" w:hAnsi="Arial" w:cs="Arial"/>
          <w:sz w:val="20"/>
          <w:szCs w:val="20"/>
          <w:lang w:eastAsia="tr-TR"/>
        </w:rPr>
        <w:t xml:space="preserve"> </w:t>
      </w:r>
      <w:r w:rsidRPr="008816F8">
        <w:rPr>
          <w:rFonts w:ascii="Arial" w:eastAsia="ヒラギノ明朝 Pro W3" w:hAnsi="Arial" w:cs="Arial"/>
          <w:sz w:val="20"/>
          <w:szCs w:val="20"/>
          <w:lang w:eastAsia="tr-TR"/>
        </w:rPr>
        <w:t xml:space="preserve"> </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proofErr w:type="gramStart"/>
      <w:r w:rsidRPr="008816F8">
        <w:rPr>
          <w:rFonts w:ascii="Arial" w:eastAsia="Times New Roman" w:hAnsi="Arial" w:cs="Arial"/>
          <w:sz w:val="20"/>
          <w:szCs w:val="20"/>
          <w:lang w:eastAsia="tr-TR"/>
        </w:rPr>
        <w:t xml:space="preserve">01.01.2016 tarihinden önce yürürlüğe girmiş ve </w:t>
      </w:r>
      <w:r w:rsidRPr="008816F8">
        <w:rPr>
          <w:rFonts w:ascii="Arial" w:eastAsia="ヒラギノ明朝 Pro W3" w:hAnsi="Arial" w:cs="Arial"/>
          <w:sz w:val="20"/>
          <w:szCs w:val="20"/>
          <w:lang w:eastAsia="tr-TR"/>
        </w:rPr>
        <w:t>bu tarih itibarıyla halen yürürlükte bulunan</w:t>
      </w:r>
      <w:r w:rsidRPr="008816F8">
        <w:rPr>
          <w:rFonts w:ascii="Arial" w:eastAsia="Times New Roman" w:hAnsi="Arial" w:cs="Arial"/>
          <w:sz w:val="20"/>
          <w:szCs w:val="20"/>
          <w:lang w:eastAsia="tr-TR"/>
        </w:rPr>
        <w:t xml:space="preserve"> sözleşmelerde, söz konusu tarihe kadar Yönetmeliğin ekinde (Ek-3) belirtilen, yönetim gider kesintisi ve giriş aidatının toplam tutarına ilişkin </w:t>
      </w:r>
      <w:r w:rsidRPr="008816F8">
        <w:rPr>
          <w:rFonts w:ascii="Arial" w:eastAsia="Times New Roman" w:hAnsi="Arial" w:cs="Arial"/>
          <w:sz w:val="20"/>
          <w:szCs w:val="20"/>
          <w:u w:val="single"/>
          <w:lang w:eastAsia="tr-TR"/>
        </w:rPr>
        <w:t>yıllık üst sınırın</w:t>
      </w:r>
      <w:r w:rsidRPr="008816F8">
        <w:rPr>
          <w:rFonts w:ascii="Arial" w:eastAsia="Times New Roman" w:hAnsi="Arial" w:cs="Arial"/>
          <w:sz w:val="20"/>
          <w:szCs w:val="20"/>
          <w:lang w:eastAsia="tr-TR"/>
        </w:rPr>
        <w:t xml:space="preserve"> üzerinde kesinti yapılmış olması durumunda, 01.01.2016 tarihini takip eden sözleşme yıldönümüne kadar yönetim gider kesintisi ve giriş aidatı adı altında ayrıca bir kesinti yapılamaz. </w:t>
      </w:r>
      <w:proofErr w:type="gramEnd"/>
      <w:r w:rsidRPr="008816F8">
        <w:rPr>
          <w:rFonts w:ascii="Arial" w:eastAsia="Times New Roman" w:hAnsi="Arial" w:cs="Arial"/>
          <w:sz w:val="20"/>
          <w:szCs w:val="20"/>
          <w:lang w:eastAsia="tr-TR"/>
        </w:rPr>
        <w:t xml:space="preserve">Bu durumdaki sözleşmeler için </w:t>
      </w:r>
      <w:r w:rsidRPr="008816F8">
        <w:rPr>
          <w:rFonts w:ascii="Arial" w:eastAsia="Times New Roman" w:hAnsi="Arial" w:cs="Arial"/>
          <w:sz w:val="20"/>
          <w:szCs w:val="20"/>
          <w:u w:val="single"/>
          <w:lang w:eastAsia="tr-TR"/>
        </w:rPr>
        <w:t>beş yıllık üst sınırın</w:t>
      </w:r>
      <w:r w:rsidRPr="008816F8">
        <w:rPr>
          <w:rFonts w:ascii="Arial" w:eastAsia="Times New Roman" w:hAnsi="Arial" w:cs="Arial"/>
          <w:sz w:val="20"/>
          <w:szCs w:val="20"/>
          <w:lang w:eastAsia="tr-TR"/>
        </w:rPr>
        <w:t xml:space="preserve"> üzerinde kesinti yapılmış olması halinde ise 01.01.2016 tarihinden sonra yönetim gider kesintisi ve giriş aidatı adı altında ayrıca bir kesinti yapılamaz.</w:t>
      </w:r>
      <w:r w:rsidRPr="008816F8" w:rsidDel="004520B4">
        <w:rPr>
          <w:rFonts w:ascii="Arial" w:eastAsia="Times New Roman" w:hAnsi="Arial" w:cs="Arial"/>
          <w:sz w:val="20"/>
          <w:szCs w:val="20"/>
          <w:lang w:eastAsia="tr-TR"/>
        </w:rPr>
        <w:t xml:space="preserve"> </w:t>
      </w: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Örnek 1:</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Örneğin,</w:t>
      </w:r>
      <w:r w:rsidRPr="008816F8">
        <w:rPr>
          <w:rFonts w:ascii="Arial" w:hAnsi="Arial" w:cs="Arial"/>
          <w:sz w:val="20"/>
          <w:szCs w:val="20"/>
        </w:rPr>
        <w:t xml:space="preserve"> </w:t>
      </w:r>
      <w:r w:rsidRPr="008816F8">
        <w:rPr>
          <w:rFonts w:ascii="Arial" w:eastAsia="Times New Roman" w:hAnsi="Arial" w:cs="Arial"/>
          <w:sz w:val="20"/>
          <w:szCs w:val="20"/>
          <w:lang w:eastAsia="tr-TR"/>
        </w:rPr>
        <w:t xml:space="preserve">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Örnek 2: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roofErr w:type="gramStart"/>
      <w:r w:rsidRPr="008816F8">
        <w:rPr>
          <w:rFonts w:ascii="Arial" w:eastAsia="Times New Roman" w:hAnsi="Arial" w:cs="Arial"/>
          <w:sz w:val="20"/>
          <w:szCs w:val="20"/>
          <w:lang w:eastAsia="tr-TR"/>
        </w:rPr>
        <w:lastRenderedPageBreak/>
        <w:t xml:space="preserve">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w:t>
      </w:r>
      <w:proofErr w:type="gramEnd"/>
      <w:r w:rsidRPr="008816F8">
        <w:rPr>
          <w:rFonts w:ascii="Arial" w:eastAsia="Times New Roman" w:hAnsi="Arial" w:cs="Arial"/>
          <w:sz w:val="20"/>
          <w:szCs w:val="20"/>
          <w:lang w:eastAsia="tr-TR"/>
        </w:rPr>
        <w:t>Bununla birlikte, anılan kesintinin (106 TL) 01.01.2016 tarihi öncesinde, Yönetmelik henüz yürürlüğe girmeden, yapılmış olması sebebiyle katılımcı hesaplarına bir iade yapılmayacaktır.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w:t>
      </w:r>
      <w:r w:rsidRPr="008816F8">
        <w:rPr>
          <w:rFonts w:ascii="Arial" w:eastAsia="ヒラギノ明朝 Pro W3" w:hAnsi="Arial" w:cs="Arial"/>
          <w:sz w:val="20"/>
          <w:szCs w:val="20"/>
          <w:lang w:eastAsia="tr-TR"/>
        </w:rPr>
        <w:t>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proofErr w:type="gramStart"/>
      <w:r w:rsidRPr="008816F8">
        <w:rPr>
          <w:rFonts w:ascii="Arial" w:eastAsia="ヒラギノ明朝 Pro W3" w:hAnsi="Arial" w:cs="Arial"/>
          <w:sz w:val="20"/>
          <w:szCs w:val="20"/>
          <w:lang w:eastAsia="tr-TR"/>
        </w:rPr>
        <w:t xml:space="preserve">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w:t>
      </w:r>
      <w:proofErr w:type="gramEnd"/>
      <w:r w:rsidRPr="008816F8">
        <w:rPr>
          <w:rFonts w:ascii="Arial" w:eastAsia="ヒラギノ明朝 Pro W3" w:hAnsi="Arial" w:cs="Arial"/>
          <w:sz w:val="20"/>
          <w:szCs w:val="20"/>
          <w:lang w:eastAsia="tr-TR"/>
        </w:rPr>
        <w:t xml:space="preserve">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Örnek 1:</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ヒラギノ明朝 Pro W3" w:hAnsi="Arial" w:cs="Arial"/>
          <w:sz w:val="20"/>
          <w:szCs w:val="20"/>
          <w:lang w:eastAsia="tr-TR"/>
        </w:rPr>
        <w:t>01.01.2014 tarihinde yürürlüğe girmiş bir sözleşmenin katılımcısı 01.06.2016’da ayrılmak istemektedir. Bu durumda, şirketin 5 yıllık süreçte toplam kesebileceği tutarın üst sınırı aşağıdaki şekilde hesaplanacaktır:</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ABÜ= İlgili yılın ilk altı ayındaki asgari ücret</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i/>
          <w:sz w:val="20"/>
          <w:szCs w:val="20"/>
          <w:lang w:eastAsia="tr-TR"/>
        </w:rPr>
        <w:t>“[2014 ABÜ*%8,5+2015 ABÜ*%8,5+2016 ABÜ*%8,5*3]</w:t>
      </w:r>
      <w:r w:rsidRPr="008816F8">
        <w:rPr>
          <w:rFonts w:ascii="Arial" w:eastAsia="ヒラギノ明朝 Pro W3" w:hAnsi="Arial" w:cs="Arial"/>
          <w:sz w:val="20"/>
          <w:szCs w:val="20"/>
          <w:lang w:eastAsia="tr-TR"/>
        </w:rPr>
        <w:t>”</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Not: 2017 ve 2018 yıllarına ilişkin </w:t>
      </w:r>
      <w:proofErr w:type="spellStart"/>
      <w:r w:rsidRPr="008816F8">
        <w:rPr>
          <w:rFonts w:ascii="Arial" w:eastAsia="ヒラギノ明朝 Pro W3" w:hAnsi="Arial" w:cs="Arial"/>
          <w:sz w:val="20"/>
          <w:szCs w:val="20"/>
          <w:lang w:eastAsia="tr-TR"/>
        </w:rPr>
        <w:t>ABÜ’nün</w:t>
      </w:r>
      <w:proofErr w:type="spellEnd"/>
      <w:r w:rsidRPr="008816F8">
        <w:rPr>
          <w:rFonts w:ascii="Arial" w:eastAsia="ヒラギノ明朝 Pro W3" w:hAnsi="Arial" w:cs="Arial"/>
          <w:sz w:val="20"/>
          <w:szCs w:val="20"/>
          <w:lang w:eastAsia="tr-TR"/>
        </w:rPr>
        <w:t xml:space="preserve"> 2016 yılı ABÜ ile aynı olduğu varsayılacaktır.</w:t>
      </w: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highlight w:val="yellow"/>
          <w:lang w:eastAsia="tr-TR"/>
        </w:rPr>
      </w:pP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 xml:space="preserve">Örnek 2: </w:t>
      </w: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Aktarım yapan şirket, aktarımın yapıldığı sözleşme yılında yapılan kesinti tutarını ve aktarım tarihine kadar yapılan toplam kesinti tutarını aktarım yapılan şirkete iletir.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highlight w:val="yellow"/>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lastRenderedPageBreak/>
        <w:t>Birden fazla sözleşmesi bulunan ve emeklilik hakkını kullanmak isteyen katılımcının sözleşmeleri hesap birleştirme yapılmadan önce her bir sözleşme için sözleşme bazında üst sınır kontrolleri ve varsa iade işlemleri yapılır.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u w:val="single"/>
          <w:lang w:eastAsia="tr-TR"/>
        </w:rPr>
        <w:t>Sözleşmede yer alan devlet katkısı tutarı ile ilişkilendirilen</w:t>
      </w:r>
      <w:r w:rsidRPr="008816F8">
        <w:rPr>
          <w:rFonts w:ascii="Arial" w:eastAsia="Times New Roman" w:hAnsi="Arial" w:cs="Arial"/>
          <w:sz w:val="20"/>
          <w:szCs w:val="20"/>
          <w:lang w:eastAsia="tr-TR"/>
        </w:rPr>
        <w:t xml:space="preserve">, kesintilere yönelik üst sınır </w:t>
      </w:r>
      <w:r w:rsidRPr="008816F8">
        <w:rPr>
          <w:rFonts w:ascii="Arial" w:eastAsia="ヒラギノ明朝 Pro W3" w:hAnsi="Arial" w:cs="Arial"/>
          <w:sz w:val="20"/>
          <w:szCs w:val="20"/>
          <w:lang w:eastAsia="tr-TR"/>
        </w:rPr>
        <w:t>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Emeklilik Planı Hakkında Genelge kapsamında 01.01.2016 itibarıyla sundukları standart fonlara ilişkin fon pay değeri ve fon toplam gider kesinti oranlarını kullanacaklardır. Katılımcılarına birden fazla standart fon sunan şirketler, kontrolde kullanılacak standart fonu kendileri belirleyeceklerdir.</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ヒラギノ明朝 Pro W3" w:hAnsi="Arial" w:cs="Arial"/>
          <w:sz w:val="20"/>
          <w:szCs w:val="20"/>
          <w:lang w:eastAsia="tr-TR"/>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rsidR="008816F8" w:rsidRPr="008816F8" w:rsidRDefault="008816F8" w:rsidP="008816F8">
      <w:pPr>
        <w:pStyle w:val="ListeParagraf"/>
        <w:rPr>
          <w:rFonts w:ascii="Arial" w:eastAsia="ヒラギノ明朝 Pro W3" w:hAnsi="Arial" w:cs="Arial"/>
          <w:sz w:val="20"/>
          <w:szCs w:val="20"/>
          <w:lang w:eastAsia="tr-TR"/>
        </w:rPr>
      </w:pPr>
    </w:p>
    <w:p w:rsidR="008816F8" w:rsidRPr="008816F8" w:rsidRDefault="008816F8" w:rsidP="008816F8">
      <w:pPr>
        <w:pStyle w:val="ListeParagraf"/>
        <w:tabs>
          <w:tab w:val="left" w:pos="709"/>
        </w:tabs>
        <w:spacing w:after="0" w:line="240" w:lineRule="auto"/>
        <w:ind w:left="0"/>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ab/>
        <w:t>01.01.2016 tarihindeki birikim tutarı15.000 TL olan bir sözleşme için;</w:t>
      </w:r>
    </w:p>
    <w:p w:rsidR="008816F8" w:rsidRPr="008816F8" w:rsidRDefault="008816F8" w:rsidP="008816F8">
      <w:pPr>
        <w:pStyle w:val="ListeParagraf"/>
        <w:tabs>
          <w:tab w:val="left" w:pos="709"/>
        </w:tabs>
        <w:spacing w:after="0" w:line="240" w:lineRule="auto"/>
        <w:ind w:left="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b) Kontrol tarihi itibarıyla, ilgili fona ait pay değerleri ile 01.01.2016’daki pay adetlerinin çarpılması suretiyle 15.000 TL’nin kontrol tarihi itibarıyla ulaştığı getiri dâhil toplam birikim tutarı belirlenir.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jc w:val="both"/>
        <w:rPr>
          <w:rFonts w:ascii="Arial" w:hAnsi="Arial" w:cs="Arial"/>
          <w:sz w:val="20"/>
          <w:szCs w:val="20"/>
        </w:rPr>
      </w:pPr>
      <w:r w:rsidRPr="008816F8">
        <w:rPr>
          <w:rFonts w:ascii="Arial" w:eastAsia="Times New Roman" w:hAnsi="Arial" w:cs="Arial"/>
          <w:sz w:val="20"/>
          <w:szCs w:val="20"/>
          <w:lang w:eastAsia="tr-TR"/>
        </w:rPr>
        <w:t>d) (c)’de hesaplanan kesinti tutarı, anılan kontrolden muaf tutulur.</w:t>
      </w:r>
      <w:r w:rsidRPr="008816F8">
        <w:rPr>
          <w:rFonts w:ascii="Arial" w:hAnsi="Arial" w:cs="Arial"/>
          <w:sz w:val="20"/>
          <w:szCs w:val="20"/>
        </w:rPr>
        <w:t xml:space="preserve"> </w:t>
      </w:r>
    </w:p>
    <w:p w:rsidR="008816F8" w:rsidRPr="008816F8" w:rsidRDefault="008816F8" w:rsidP="008816F8">
      <w:pPr>
        <w:pStyle w:val="ListeParagraf"/>
        <w:tabs>
          <w:tab w:val="left" w:pos="709"/>
        </w:tabs>
        <w:spacing w:after="0" w:line="240" w:lineRule="auto"/>
        <w:jc w:val="both"/>
        <w:rPr>
          <w:rFonts w:ascii="Arial" w:hAnsi="Arial" w:cs="Arial"/>
          <w:sz w:val="20"/>
          <w:szCs w:val="20"/>
        </w:rPr>
      </w:pP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İlgili standart fonun dönüştürülmesi, tasfiyesi vb. durumunda, anılan kontrole ilişkin yapılacak uygulama Hazine Müsteşarlığının onayına tabi olup, şirketler söz konusu dönüşüm veya tasfiye işlemi öncesinde kontrolün aksamamasını </w:t>
      </w:r>
      <w:proofErr w:type="spellStart"/>
      <w:r w:rsidRPr="008816F8">
        <w:rPr>
          <w:rFonts w:ascii="Arial" w:eastAsia="Times New Roman" w:hAnsi="Arial" w:cs="Arial"/>
          <w:sz w:val="20"/>
          <w:szCs w:val="20"/>
          <w:lang w:eastAsia="tr-TR"/>
        </w:rPr>
        <w:t>teminen</w:t>
      </w:r>
      <w:proofErr w:type="spellEnd"/>
      <w:r w:rsidRPr="008816F8">
        <w:rPr>
          <w:rFonts w:ascii="Arial" w:eastAsia="Times New Roman" w:hAnsi="Arial" w:cs="Arial"/>
          <w:sz w:val="20"/>
          <w:szCs w:val="20"/>
          <w:lang w:eastAsia="tr-TR"/>
        </w:rPr>
        <w:t xml:space="preserve"> gerekli tedbirleri almakla yükümlüdür.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u w:val="single"/>
          <w:lang w:eastAsia="tr-TR"/>
        </w:rPr>
        <w:t>Sözleşmede yer alan devlet katkısı tutarı ile ilişkilendirilen</w:t>
      </w:r>
      <w:r w:rsidRPr="008816F8">
        <w:rPr>
          <w:rFonts w:ascii="Arial" w:eastAsia="Times New Roman" w:hAnsi="Arial" w:cs="Arial"/>
          <w:sz w:val="20"/>
          <w:szCs w:val="20"/>
          <w:lang w:eastAsia="tr-TR"/>
        </w:rPr>
        <w:t xml:space="preserve">,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 </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6"/>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rsidR="008816F8" w:rsidRPr="008816F8" w:rsidRDefault="008816F8" w:rsidP="008816F8">
      <w:pPr>
        <w:spacing w:after="0" w:line="240" w:lineRule="auto"/>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Fon toplam gider kesintisinin (FTGK) iadesi işlemine ilişkin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numPr>
          <w:ilvl w:val="0"/>
          <w:numId w:val="4"/>
        </w:numPr>
        <w:spacing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lastRenderedPageBreak/>
        <w:t xml:space="preserve">İade, sözleşme bazında ve sözleşme yıldönümleri esas alınmak suretiyle yıllık olarak yapılır. </w:t>
      </w:r>
    </w:p>
    <w:p w:rsidR="008816F8" w:rsidRPr="008816F8" w:rsidRDefault="008816F8" w:rsidP="008816F8">
      <w:pPr>
        <w:numPr>
          <w:ilvl w:val="0"/>
          <w:numId w:val="4"/>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Kesintinin hesaplama tarihi itibarıyla mevcut bulunan birikim tutarının %1,1’inin altında kalan kısmı için iade uygulanmaz. </w:t>
      </w:r>
      <w:proofErr w:type="gramStart"/>
      <w:r w:rsidRPr="008816F8">
        <w:rPr>
          <w:rFonts w:ascii="Arial" w:eastAsia="Times New Roman" w:hAnsi="Arial" w:cs="Arial"/>
          <w:sz w:val="20"/>
          <w:szCs w:val="20"/>
          <w:lang w:eastAsia="tr-TR"/>
        </w:rPr>
        <w:t xml:space="preserve">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w:t>
      </w:r>
      <w:proofErr w:type="gramEnd"/>
      <w:r w:rsidRPr="008816F8">
        <w:rPr>
          <w:rFonts w:ascii="Arial" w:eastAsia="Times New Roman" w:hAnsi="Arial" w:cs="Arial"/>
          <w:sz w:val="20"/>
          <w:szCs w:val="20"/>
          <w:lang w:eastAsia="tr-TR"/>
        </w:rPr>
        <w:t>Ancak, şirketin katılımcı lehine yapacağı uygulamalar saklıdır.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 </w:t>
      </w: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 xml:space="preserve">İade oranının belirlenmesine ilişkin sürenin hesabında, </w:t>
      </w:r>
      <w:r w:rsidRPr="008816F8">
        <w:rPr>
          <w:rFonts w:ascii="Arial" w:eastAsia="ヒラギノ明朝 Pro W3" w:hAnsi="Arial" w:cs="Arial"/>
          <w:sz w:val="20"/>
          <w:szCs w:val="20"/>
          <w:lang w:eastAsia="tr-TR"/>
        </w:rPr>
        <w:t>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r w:rsidRPr="008816F8">
        <w:rPr>
          <w:rFonts w:ascii="Arial" w:eastAsia="Times New Roman" w:hAnsi="Arial" w:cs="Arial"/>
          <w:sz w:val="20"/>
          <w:szCs w:val="20"/>
          <w:lang w:eastAsia="tr-TR"/>
        </w:rPr>
        <w:t>Emeklilik gelir planları, iade uygulaması kapsamındadır. Bu planlara ilişkin iade oranı belirlenirken, plana geçiş yapılan tarihten itibaren sözleşmede geçirilen süre esas alınır; katılımcının ilgili emeklilik gelir planına girmeden önce sözleşmede geçirdiği süre dikkate alınmaz. İadeler, katılımcının</w:t>
      </w:r>
      <w:r w:rsidRPr="008816F8">
        <w:rPr>
          <w:rFonts w:ascii="Arial" w:eastAsia="ヒラギノ明朝 Pro W3" w:hAnsi="Arial" w:cs="Arial"/>
          <w:sz w:val="20"/>
          <w:szCs w:val="20"/>
          <w:lang w:eastAsia="tr-TR"/>
        </w:rPr>
        <w:t xml:space="preserve"> bireysel emeklilik planlarında belirtilen fon dağılım oranları dikkate alınarak ilgili fonlara aktarılır.</w:t>
      </w: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İade, </w:t>
      </w:r>
      <w:proofErr w:type="gramStart"/>
      <w:r w:rsidRPr="008816F8">
        <w:rPr>
          <w:rFonts w:ascii="Arial" w:eastAsia="Times New Roman" w:hAnsi="Arial" w:cs="Arial"/>
          <w:sz w:val="20"/>
          <w:szCs w:val="20"/>
          <w:lang w:eastAsia="tr-TR"/>
        </w:rPr>
        <w:t>01/01/2021</w:t>
      </w:r>
      <w:proofErr w:type="gramEnd"/>
      <w:r w:rsidRPr="008816F8">
        <w:rPr>
          <w:rFonts w:ascii="Arial" w:eastAsia="Times New Roman" w:hAnsi="Arial" w:cs="Arial"/>
          <w:sz w:val="20"/>
          <w:szCs w:val="20"/>
          <w:lang w:eastAsia="tr-TR"/>
        </w:rPr>
        <w:t xml:space="preserve"> tarihini müteakip her sözleşme yılı sonunda ve 01/01/2021 tarihinden sonra sözleşmenin sonlandırılması durumunda yapılacaktır. Bu kapsamda, </w:t>
      </w:r>
      <w:proofErr w:type="gramStart"/>
      <w:r w:rsidRPr="008816F8">
        <w:rPr>
          <w:rFonts w:ascii="Arial" w:eastAsia="Times New Roman" w:hAnsi="Arial" w:cs="Arial"/>
          <w:sz w:val="20"/>
          <w:szCs w:val="20"/>
          <w:lang w:eastAsia="tr-TR"/>
        </w:rPr>
        <w:t>01/01/2021</w:t>
      </w:r>
      <w:proofErr w:type="gramEnd"/>
      <w:r w:rsidRPr="008816F8">
        <w:rPr>
          <w:rFonts w:ascii="Arial" w:eastAsia="Times New Roman" w:hAnsi="Arial" w:cs="Arial"/>
          <w:sz w:val="20"/>
          <w:szCs w:val="20"/>
          <w:lang w:eastAsia="tr-TR"/>
        </w:rPr>
        <w:t xml:space="preserve"> tarihinden önce yapılmış olan fon toplam gider kesintileri iade edilmeyecektir.</w:t>
      </w:r>
    </w:p>
    <w:p w:rsidR="008816F8" w:rsidRPr="008816F8" w:rsidRDefault="008816F8" w:rsidP="008816F8">
      <w:pPr>
        <w:spacing w:after="0" w:line="240" w:lineRule="auto"/>
        <w:ind w:left="720"/>
        <w:jc w:val="both"/>
        <w:rPr>
          <w:rFonts w:ascii="Arial" w:eastAsia="Times New Roman"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Fona ilişkin zorunlu giderlerin karşılanmasına yönelik kesintiler iade işleminin dışındadır.</w:t>
      </w:r>
    </w:p>
    <w:p w:rsidR="008816F8" w:rsidRPr="008816F8" w:rsidRDefault="008816F8" w:rsidP="008816F8">
      <w:pPr>
        <w:spacing w:after="0" w:line="240" w:lineRule="auto"/>
        <w:ind w:left="720"/>
        <w:jc w:val="both"/>
        <w:rPr>
          <w:rFonts w:ascii="Arial" w:eastAsia="ヒラギノ明朝 Pro W3" w:hAnsi="Arial" w:cs="Arial"/>
          <w:sz w:val="20"/>
          <w:szCs w:val="20"/>
          <w:lang w:eastAsia="tr-TR"/>
        </w:rPr>
      </w:pPr>
    </w:p>
    <w:p w:rsidR="008816F8" w:rsidRPr="008816F8" w:rsidRDefault="008816F8" w:rsidP="008816F8">
      <w:pPr>
        <w:numPr>
          <w:ilvl w:val="0"/>
          <w:numId w:val="4"/>
        </w:numPr>
        <w:spacing w:after="0" w:line="240" w:lineRule="auto"/>
        <w:jc w:val="both"/>
        <w:rPr>
          <w:rFonts w:ascii="Arial" w:eastAsia="ヒラギノ明朝 Pro W3" w:hAnsi="Arial" w:cs="Arial"/>
          <w:sz w:val="20"/>
          <w:szCs w:val="20"/>
          <w:lang w:eastAsia="tr-TR"/>
        </w:rPr>
      </w:pPr>
      <w:r w:rsidRPr="008816F8">
        <w:rPr>
          <w:rFonts w:ascii="Arial" w:eastAsia="ヒラギノ明朝 Pro W3" w:hAnsi="Arial" w:cs="Arial"/>
          <w:sz w:val="20"/>
          <w:szCs w:val="20"/>
          <w:lang w:eastAsia="tr-TR"/>
        </w:rPr>
        <w:t xml:space="preserve">Bireysel Emeklilik Sistemi Hakkında Yönetmeliğin 22 </w:t>
      </w:r>
      <w:proofErr w:type="spellStart"/>
      <w:r w:rsidRPr="008816F8">
        <w:rPr>
          <w:rFonts w:ascii="Arial" w:eastAsia="ヒラギノ明朝 Pro W3" w:hAnsi="Arial" w:cs="Arial"/>
          <w:sz w:val="20"/>
          <w:szCs w:val="20"/>
          <w:lang w:eastAsia="tr-TR"/>
        </w:rPr>
        <w:t>nci</w:t>
      </w:r>
      <w:proofErr w:type="spellEnd"/>
      <w:r w:rsidRPr="008816F8">
        <w:rPr>
          <w:rFonts w:ascii="Arial" w:eastAsia="ヒラギノ明朝 Pro W3" w:hAnsi="Arial" w:cs="Arial"/>
          <w:sz w:val="20"/>
          <w:szCs w:val="20"/>
          <w:lang w:eastAsia="tr-TR"/>
        </w:rPr>
        <w:t xml:space="preserve"> maddesinin ikinci fıkrası kapsamındaki fon türleri için yapılacak performans kesintisi iade işleminin dışındadır.</w:t>
      </w:r>
    </w:p>
    <w:p w:rsidR="008816F8" w:rsidRPr="008816F8" w:rsidRDefault="008816F8" w:rsidP="008816F8">
      <w:pPr>
        <w:pStyle w:val="ListeParagraf"/>
        <w:tabs>
          <w:tab w:val="left" w:pos="851"/>
          <w:tab w:val="left" w:pos="993"/>
        </w:tabs>
        <w:spacing w:after="0" w:line="240" w:lineRule="auto"/>
        <w:ind w:left="0"/>
        <w:jc w:val="both"/>
        <w:rPr>
          <w:rFonts w:ascii="Arial" w:eastAsia="ヒラギノ明朝 Pro W3"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Kesinti iadelerine ve şirketin sorumluluğuna ilişkin açıklamalar</w:t>
      </w:r>
    </w:p>
    <w:p w:rsidR="008816F8" w:rsidRPr="008816F8" w:rsidRDefault="008816F8" w:rsidP="008816F8">
      <w:pPr>
        <w:spacing w:after="0" w:line="240" w:lineRule="auto"/>
        <w:jc w:val="both"/>
        <w:rPr>
          <w:rFonts w:ascii="Arial" w:eastAsia="Times New Roman" w:hAnsi="Arial" w:cs="Arial"/>
          <w:b/>
          <w:sz w:val="20"/>
          <w:szCs w:val="20"/>
          <w:lang w:eastAsia="tr-TR"/>
        </w:rPr>
      </w:pPr>
    </w:p>
    <w:p w:rsidR="008816F8" w:rsidRPr="008816F8" w:rsidRDefault="008816F8" w:rsidP="008816F8">
      <w:pPr>
        <w:pStyle w:val="ListeParagraf"/>
        <w:numPr>
          <w:ilvl w:val="0"/>
          <w:numId w:val="5"/>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doğrudan katılımcıya yapılır.</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Pr="008816F8" w:rsidRDefault="008816F8" w:rsidP="008816F8">
      <w:pPr>
        <w:pStyle w:val="ListeParagraf"/>
        <w:numPr>
          <w:ilvl w:val="0"/>
          <w:numId w:val="5"/>
        </w:numPr>
        <w:tabs>
          <w:tab w:val="left" w:pos="709"/>
        </w:tabs>
        <w:spacing w:before="24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İadelerin gecikmesi durumunda şirketin sorumluluğu;</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9"/>
        </w:numPr>
        <w:tabs>
          <w:tab w:val="left" w:pos="709"/>
        </w:tabs>
        <w:spacing w:before="240" w:line="240" w:lineRule="auto"/>
        <w:ind w:left="993" w:hanging="284"/>
        <w:jc w:val="both"/>
        <w:rPr>
          <w:rFonts w:ascii="Arial" w:eastAsia="Times New Roman" w:hAnsi="Arial" w:cs="Arial"/>
          <w:sz w:val="20"/>
          <w:szCs w:val="20"/>
          <w:lang w:eastAsia="tr-TR"/>
        </w:rPr>
      </w:pPr>
      <w:proofErr w:type="gramStart"/>
      <w:r w:rsidRPr="008816F8">
        <w:rPr>
          <w:rFonts w:ascii="Arial" w:eastAsia="Times New Roman" w:hAnsi="Arial" w:cs="Arial"/>
          <w:sz w:val="20"/>
          <w:szCs w:val="20"/>
          <w:lang w:eastAsia="tr-TR"/>
        </w:rPr>
        <w:t>kesintilere</w:t>
      </w:r>
      <w:proofErr w:type="gramEnd"/>
      <w:r w:rsidRPr="008816F8">
        <w:rPr>
          <w:rFonts w:ascii="Arial" w:eastAsia="Times New Roman" w:hAnsi="Arial" w:cs="Arial"/>
          <w:sz w:val="20"/>
          <w:szCs w:val="20"/>
          <w:lang w:eastAsia="tr-TR"/>
        </w:rPr>
        <w:t xml:space="preserve"> ilişkin üst sınırın aşıldığının şirket tarafından tespit edildiği tarihi,</w:t>
      </w:r>
    </w:p>
    <w:p w:rsidR="008816F8" w:rsidRPr="008816F8" w:rsidRDefault="008816F8" w:rsidP="008816F8">
      <w:pPr>
        <w:pStyle w:val="ListeParagraf"/>
        <w:numPr>
          <w:ilvl w:val="0"/>
          <w:numId w:val="9"/>
        </w:numPr>
        <w:tabs>
          <w:tab w:val="left" w:pos="709"/>
          <w:tab w:val="left" w:pos="993"/>
        </w:tabs>
        <w:spacing w:before="240" w:line="240" w:lineRule="auto"/>
        <w:ind w:left="993" w:hanging="284"/>
        <w:jc w:val="both"/>
        <w:rPr>
          <w:rFonts w:ascii="Arial" w:eastAsia="Times New Roman" w:hAnsi="Arial" w:cs="Arial"/>
          <w:sz w:val="20"/>
          <w:szCs w:val="20"/>
          <w:lang w:eastAsia="tr-TR"/>
        </w:rPr>
      </w:pPr>
      <w:proofErr w:type="gramStart"/>
      <w:r w:rsidRPr="008816F8">
        <w:rPr>
          <w:rFonts w:ascii="Arial" w:eastAsia="Times New Roman" w:hAnsi="Arial" w:cs="Arial"/>
          <w:sz w:val="20"/>
          <w:szCs w:val="20"/>
          <w:lang w:eastAsia="tr-TR"/>
        </w:rPr>
        <w:t>fon</w:t>
      </w:r>
      <w:proofErr w:type="gramEnd"/>
      <w:r w:rsidRPr="008816F8">
        <w:rPr>
          <w:rFonts w:ascii="Arial" w:eastAsia="Times New Roman" w:hAnsi="Arial" w:cs="Arial"/>
          <w:sz w:val="20"/>
          <w:szCs w:val="20"/>
          <w:lang w:eastAsia="tr-TR"/>
        </w:rPr>
        <w:t xml:space="preserve"> toplam gider kesintisinin iadesi durumunda ise ilgisine göre </w:t>
      </w:r>
      <w:r w:rsidRPr="008816F8">
        <w:rPr>
          <w:rFonts w:ascii="Arial" w:eastAsia="ヒラギノ明朝 Pro W3" w:hAnsi="Arial" w:cs="Arial"/>
          <w:sz w:val="20"/>
          <w:szCs w:val="20"/>
          <w:lang w:eastAsia="tr-TR"/>
        </w:rPr>
        <w:t>her sözleşme yılı sonunu veya sözleşmenin sonlandırılma tarihini</w:t>
      </w:r>
    </w:p>
    <w:p w:rsidR="008816F8" w:rsidRPr="008816F8" w:rsidRDefault="008816F8" w:rsidP="008816F8">
      <w:pPr>
        <w:tabs>
          <w:tab w:val="left" w:pos="709"/>
        </w:tabs>
        <w:spacing w:before="240" w:line="240" w:lineRule="auto"/>
        <w:ind w:left="360"/>
        <w:jc w:val="both"/>
        <w:rPr>
          <w:rFonts w:ascii="Arial" w:eastAsia="Times New Roman" w:hAnsi="Arial" w:cs="Arial"/>
          <w:sz w:val="20"/>
          <w:szCs w:val="20"/>
          <w:lang w:eastAsia="tr-TR"/>
        </w:rPr>
      </w:pPr>
      <w:proofErr w:type="gramStart"/>
      <w:r w:rsidRPr="008816F8">
        <w:rPr>
          <w:rFonts w:ascii="Arial" w:eastAsia="Times New Roman" w:hAnsi="Arial" w:cs="Arial"/>
          <w:sz w:val="20"/>
          <w:szCs w:val="20"/>
          <w:lang w:eastAsia="tr-TR"/>
        </w:rPr>
        <w:t>takip</w:t>
      </w:r>
      <w:proofErr w:type="gramEnd"/>
      <w:r w:rsidRPr="008816F8">
        <w:rPr>
          <w:rFonts w:ascii="Arial" w:eastAsia="Times New Roman" w:hAnsi="Arial" w:cs="Arial"/>
          <w:sz w:val="20"/>
          <w:szCs w:val="20"/>
          <w:lang w:eastAsia="tr-TR"/>
        </w:rPr>
        <w:t xml:space="preserve"> eden en geç beşinci iş günü sonuna kadar iade tutarının </w:t>
      </w:r>
      <w:r w:rsidRPr="008816F8">
        <w:rPr>
          <w:rFonts w:ascii="Arial" w:eastAsia="ヒラギノ明朝 Pro W3" w:hAnsi="Arial" w:cs="Arial"/>
          <w:sz w:val="20"/>
          <w:szCs w:val="20"/>
          <w:lang w:eastAsia="tr-TR"/>
        </w:rPr>
        <w:t>ilgisine göre katılımcıya veya katılımcının bireysel emeklilik hesabına ödenmemesi</w:t>
      </w:r>
      <w:r w:rsidRPr="008816F8">
        <w:rPr>
          <w:rFonts w:ascii="Arial" w:eastAsia="Times New Roman" w:hAnsi="Arial" w:cs="Arial"/>
          <w:sz w:val="20"/>
          <w:szCs w:val="20"/>
          <w:lang w:eastAsia="tr-TR"/>
        </w:rPr>
        <w:t xml:space="preserve"> halinde başlar.</w:t>
      </w:r>
    </w:p>
    <w:p w:rsidR="008816F8" w:rsidRPr="008816F8" w:rsidRDefault="008816F8" w:rsidP="008816F8">
      <w:pPr>
        <w:pStyle w:val="ListeParagraf"/>
        <w:numPr>
          <w:ilvl w:val="0"/>
          <w:numId w:val="5"/>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Şirketler, Yönetmelik Ek-4’te yer alan tabloda belirtilen kesinti iadelerine </w:t>
      </w:r>
      <w:proofErr w:type="gramStart"/>
      <w:r w:rsidRPr="008816F8">
        <w:rPr>
          <w:rFonts w:ascii="Arial" w:eastAsia="Times New Roman" w:hAnsi="Arial" w:cs="Arial"/>
          <w:sz w:val="20"/>
          <w:szCs w:val="20"/>
          <w:lang w:eastAsia="tr-TR"/>
        </w:rPr>
        <w:t>ilişkin  altyapılarını</w:t>
      </w:r>
      <w:proofErr w:type="gramEnd"/>
      <w:r w:rsidRPr="008816F8">
        <w:rPr>
          <w:rFonts w:ascii="Arial" w:eastAsia="Times New Roman" w:hAnsi="Arial" w:cs="Arial"/>
          <w:sz w:val="20"/>
          <w:szCs w:val="20"/>
          <w:lang w:eastAsia="tr-TR"/>
        </w:rPr>
        <w:t xml:space="preserve"> 01/01/2021 tarihi itibarıyla hazır hale getirirler.  </w:t>
      </w:r>
    </w:p>
    <w:p w:rsidR="008816F8" w:rsidRPr="008816F8" w:rsidRDefault="008816F8" w:rsidP="008816F8">
      <w:pPr>
        <w:pStyle w:val="ListeParagraf"/>
        <w:rPr>
          <w:rFonts w:ascii="Arial" w:eastAsia="Times New Roman" w:hAnsi="Arial" w:cs="Arial"/>
          <w:sz w:val="20"/>
          <w:szCs w:val="20"/>
          <w:lang w:eastAsia="tr-TR"/>
        </w:rPr>
      </w:pPr>
    </w:p>
    <w:p w:rsidR="008816F8" w:rsidRPr="008816F8" w:rsidRDefault="008816F8" w:rsidP="008816F8">
      <w:pPr>
        <w:pStyle w:val="ListeParagraf"/>
        <w:numPr>
          <w:ilvl w:val="0"/>
          <w:numId w:val="2"/>
        </w:numPr>
        <w:tabs>
          <w:tab w:val="left" w:pos="851"/>
          <w:tab w:val="left" w:pos="993"/>
        </w:tabs>
        <w:spacing w:after="0" w:line="240" w:lineRule="auto"/>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Yürürlükten kaldırılan genelge</w:t>
      </w:r>
    </w:p>
    <w:p w:rsidR="008816F8" w:rsidRPr="008816F8" w:rsidRDefault="008816F8" w:rsidP="008816F8">
      <w:pPr>
        <w:pStyle w:val="ListeParagraf"/>
        <w:tabs>
          <w:tab w:val="left" w:pos="709"/>
        </w:tabs>
        <w:spacing w:after="0" w:line="240" w:lineRule="auto"/>
        <w:jc w:val="both"/>
        <w:rPr>
          <w:rFonts w:ascii="Arial" w:eastAsia="Times New Roman" w:hAnsi="Arial" w:cs="Arial"/>
          <w:sz w:val="20"/>
          <w:szCs w:val="20"/>
          <w:lang w:eastAsia="tr-TR"/>
        </w:rPr>
      </w:pPr>
    </w:p>
    <w:p w:rsidR="008816F8" w:rsidRDefault="008816F8" w:rsidP="008816F8">
      <w:pPr>
        <w:pStyle w:val="ListeParagraf"/>
        <w:numPr>
          <w:ilvl w:val="0"/>
          <w:numId w:val="8"/>
        </w:numPr>
        <w:tabs>
          <w:tab w:val="left" w:pos="709"/>
        </w:tabs>
        <w:spacing w:after="0" w:line="240" w:lineRule="auto"/>
        <w:jc w:val="both"/>
        <w:rPr>
          <w:rFonts w:ascii="Arial" w:eastAsia="Times New Roman" w:hAnsi="Arial" w:cs="Arial"/>
          <w:sz w:val="20"/>
          <w:szCs w:val="20"/>
          <w:lang w:eastAsia="tr-TR"/>
        </w:rPr>
      </w:pPr>
      <w:r w:rsidRPr="008816F8">
        <w:rPr>
          <w:rFonts w:ascii="Arial" w:eastAsia="Times New Roman" w:hAnsi="Arial" w:cs="Arial"/>
          <w:sz w:val="20"/>
          <w:szCs w:val="20"/>
          <w:lang w:eastAsia="tr-TR"/>
        </w:rPr>
        <w:t xml:space="preserve">Bu Genelge ile </w:t>
      </w:r>
      <w:proofErr w:type="gramStart"/>
      <w:r w:rsidRPr="008816F8">
        <w:rPr>
          <w:rFonts w:ascii="Arial" w:eastAsia="Times New Roman" w:hAnsi="Arial" w:cs="Arial"/>
          <w:sz w:val="20"/>
          <w:szCs w:val="20"/>
          <w:lang w:eastAsia="tr-TR"/>
        </w:rPr>
        <w:t>28/08/2015</w:t>
      </w:r>
      <w:proofErr w:type="gramEnd"/>
      <w:r w:rsidRPr="008816F8">
        <w:rPr>
          <w:rFonts w:ascii="Arial" w:eastAsia="Times New Roman" w:hAnsi="Arial" w:cs="Arial"/>
          <w:sz w:val="20"/>
          <w:szCs w:val="20"/>
          <w:lang w:eastAsia="tr-TR"/>
        </w:rPr>
        <w:t xml:space="preserve"> tarih ve 2015/33 sayılı “Bireysel Emeklilik Sistemi Hakkında Yönetmelikte Değişiklik Yapılmasına Dair Yönetmeliğin Uygulanmasına İlişkin Genelge” yürürlükten kaldırılmıştır.</w:t>
      </w:r>
    </w:p>
    <w:p w:rsidR="008F092A" w:rsidRDefault="008F092A" w:rsidP="008F092A">
      <w:pPr>
        <w:tabs>
          <w:tab w:val="left" w:pos="709"/>
        </w:tabs>
        <w:spacing w:after="0" w:line="240" w:lineRule="auto"/>
        <w:jc w:val="both"/>
        <w:rPr>
          <w:rFonts w:ascii="Arial" w:eastAsia="Times New Roman" w:hAnsi="Arial" w:cs="Arial"/>
          <w:sz w:val="20"/>
          <w:szCs w:val="20"/>
          <w:lang w:eastAsia="tr-TR"/>
        </w:rPr>
      </w:pPr>
    </w:p>
    <w:p w:rsidR="008F092A" w:rsidRDefault="008F092A" w:rsidP="008F092A">
      <w:pPr>
        <w:tabs>
          <w:tab w:val="left" w:pos="709"/>
        </w:tabs>
        <w:spacing w:after="0" w:line="240" w:lineRule="auto"/>
        <w:jc w:val="both"/>
        <w:rPr>
          <w:rFonts w:ascii="Arial" w:eastAsia="Times New Roman" w:hAnsi="Arial" w:cs="Arial"/>
          <w:sz w:val="20"/>
          <w:szCs w:val="20"/>
          <w:lang w:eastAsia="tr-TR"/>
        </w:rPr>
      </w:pPr>
    </w:p>
    <w:p w:rsidR="008F092A" w:rsidRPr="008F092A" w:rsidRDefault="008F092A" w:rsidP="008F092A">
      <w:pPr>
        <w:tabs>
          <w:tab w:val="left" w:pos="709"/>
        </w:tabs>
        <w:spacing w:after="0" w:line="240" w:lineRule="auto"/>
        <w:jc w:val="both"/>
        <w:rPr>
          <w:rFonts w:ascii="Arial" w:eastAsia="Times New Roman" w:hAnsi="Arial" w:cs="Arial"/>
          <w:sz w:val="20"/>
          <w:szCs w:val="20"/>
          <w:lang w:eastAsia="tr-TR"/>
        </w:rPr>
      </w:pPr>
      <w:bookmarkStart w:id="0" w:name="_GoBack"/>
      <w:bookmarkEnd w:id="0"/>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b/>
          <w:sz w:val="20"/>
          <w:szCs w:val="20"/>
          <w:lang w:eastAsia="tr-TR"/>
        </w:rPr>
      </w:pPr>
      <w:r w:rsidRPr="008816F8">
        <w:rPr>
          <w:rFonts w:ascii="Arial" w:eastAsia="Times New Roman" w:hAnsi="Arial" w:cs="Arial"/>
          <w:b/>
          <w:sz w:val="20"/>
          <w:szCs w:val="20"/>
          <w:lang w:eastAsia="tr-TR"/>
        </w:rPr>
        <w:t>GEÇİCİ MADDE 1</w:t>
      </w:r>
    </w:p>
    <w:p w:rsidR="008816F8" w:rsidRPr="008816F8" w:rsidRDefault="008816F8" w:rsidP="008816F8">
      <w:pPr>
        <w:pStyle w:val="ListeParagraf"/>
        <w:tabs>
          <w:tab w:val="left" w:pos="709"/>
        </w:tabs>
        <w:spacing w:after="0" w:line="240" w:lineRule="auto"/>
        <w:ind w:left="360"/>
        <w:jc w:val="both"/>
        <w:rPr>
          <w:rFonts w:ascii="Arial" w:eastAsia="Times New Roman" w:hAnsi="Arial" w:cs="Arial"/>
          <w:sz w:val="20"/>
          <w:szCs w:val="20"/>
          <w:lang w:eastAsia="tr-TR"/>
        </w:rPr>
      </w:pPr>
    </w:p>
    <w:p w:rsidR="008816F8" w:rsidRPr="008816F8" w:rsidRDefault="008816F8" w:rsidP="008816F8">
      <w:pPr>
        <w:pStyle w:val="ListeParagraf"/>
        <w:tabs>
          <w:tab w:val="left" w:pos="709"/>
        </w:tabs>
        <w:spacing w:after="0" w:line="240" w:lineRule="auto"/>
        <w:ind w:left="708"/>
        <w:jc w:val="both"/>
        <w:rPr>
          <w:rFonts w:ascii="Arial" w:hAnsi="Arial" w:cs="Arial"/>
          <w:sz w:val="20"/>
          <w:szCs w:val="20"/>
        </w:rPr>
      </w:pPr>
      <w:r w:rsidRPr="008816F8">
        <w:rPr>
          <w:rFonts w:ascii="Arial" w:eastAsia="Times New Roman" w:hAnsi="Arial" w:cs="Arial"/>
          <w:sz w:val="20"/>
          <w:szCs w:val="20"/>
          <w:lang w:eastAsia="tr-TR"/>
        </w:rPr>
        <w:lastRenderedPageBreak/>
        <w:tab/>
        <w:t xml:space="preserve">01.01.2016 tarihinden önce aktarım görmüş ve halen yürürlükte olan sözleşmelerin sisteme giriş tarihi, ilgili sürenin şirketlerce doğru ve eksiksiz bir şekilde hesaplanabilmesini ve katılımcı menfaatlerinin korunmasını </w:t>
      </w:r>
      <w:proofErr w:type="spellStart"/>
      <w:r w:rsidRPr="008816F8">
        <w:rPr>
          <w:rFonts w:ascii="Arial" w:eastAsia="Times New Roman" w:hAnsi="Arial" w:cs="Arial"/>
          <w:sz w:val="20"/>
          <w:szCs w:val="20"/>
          <w:lang w:eastAsia="tr-TR"/>
        </w:rPr>
        <w:t>teminen</w:t>
      </w:r>
      <w:proofErr w:type="spellEnd"/>
      <w:r w:rsidRPr="008816F8">
        <w:rPr>
          <w:rFonts w:ascii="Arial" w:eastAsia="Times New Roman" w:hAnsi="Arial" w:cs="Arial"/>
          <w:sz w:val="20"/>
          <w:szCs w:val="20"/>
          <w:lang w:eastAsia="tr-TR"/>
        </w:rPr>
        <w:t xml:space="preserve"> Emeklilik Gözetim Merkezi (EGM) tarafından 01.01.2016 tarihi itibarı ile sözleşmenin yürürlükte bulunduğu şirket ile paylaşılır. Emeklilik Gözetim Merkezi tarafından paylaşılacak bilgi, emeklilik şirketleri tarafından iletilen verilerden sağlanacağından bu verilerin doğruluğundan ilgili emeklilik şirketi sorumludur.</w:t>
      </w:r>
    </w:p>
    <w:p w:rsidR="00422809" w:rsidRDefault="00422809"/>
    <w:sectPr w:rsidR="00422809" w:rsidSect="00107FE4">
      <w:footerReference w:type="default" r:id="rId6"/>
      <w:pgSz w:w="11906" w:h="16838"/>
      <w:pgMar w:top="993" w:right="1417" w:bottom="142" w:left="1417" w:header="708" w:footer="3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E4" w:rsidRDefault="008F092A">
    <w:pPr>
      <w:pStyle w:val="Altbilgi"/>
      <w:jc w:val="center"/>
    </w:pPr>
  </w:p>
  <w:p w:rsidR="009641B0" w:rsidRDefault="008F092A">
    <w:pPr>
      <w:pStyle w:val="Altbilgi"/>
      <w:jc w:val="center"/>
    </w:pPr>
    <w:r>
      <w:fldChar w:fldCharType="begin"/>
    </w:r>
    <w:r>
      <w:instrText>PAGE   \* MERGEFORMAT</w:instrText>
    </w:r>
    <w:r>
      <w:fldChar w:fldCharType="separate"/>
    </w:r>
    <w:r>
      <w:rPr>
        <w:noProof/>
      </w:rPr>
      <w:t>3</w:t>
    </w:r>
    <w:r>
      <w:fldChar w:fldCharType="end"/>
    </w:r>
    <w:r>
      <w:t>/7</w:t>
    </w:r>
  </w:p>
  <w:p w:rsidR="006B58E7" w:rsidRDefault="008F092A">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560C29"/>
    <w:multiLevelType w:val="hybridMultilevel"/>
    <w:tmpl w:val="57629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07C8F"/>
    <w:multiLevelType w:val="hybridMultilevel"/>
    <w:tmpl w:val="B5DC32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374564"/>
    <w:multiLevelType w:val="hybridMultilevel"/>
    <w:tmpl w:val="09AAF914"/>
    <w:lvl w:ilvl="0" w:tplc="71C2A6D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9B7558"/>
    <w:multiLevelType w:val="hybridMultilevel"/>
    <w:tmpl w:val="F4A8581E"/>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47E02B0F"/>
    <w:multiLevelType w:val="hybridMultilevel"/>
    <w:tmpl w:val="44B2F2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D52D2E"/>
    <w:multiLevelType w:val="hybridMultilevel"/>
    <w:tmpl w:val="F1A25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8"/>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F8"/>
    <w:rsid w:val="00422809"/>
    <w:rsid w:val="008816F8"/>
    <w:rsid w:val="008F0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6F8"/>
    <w:pPr>
      <w:ind w:left="720"/>
      <w:contextualSpacing/>
    </w:pPr>
  </w:style>
  <w:style w:type="paragraph" w:styleId="Altbilgi">
    <w:name w:val="footer"/>
    <w:basedOn w:val="Normal"/>
    <w:link w:val="AltbilgiChar"/>
    <w:uiPriority w:val="99"/>
    <w:unhideWhenUsed/>
    <w:rsid w:val="00881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6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6F8"/>
    <w:pPr>
      <w:ind w:left="720"/>
      <w:contextualSpacing/>
    </w:pPr>
  </w:style>
  <w:style w:type="paragraph" w:styleId="Altbilgi">
    <w:name w:val="footer"/>
    <w:basedOn w:val="Normal"/>
    <w:link w:val="AltbilgiChar"/>
    <w:uiPriority w:val="99"/>
    <w:unhideWhenUsed/>
    <w:rsid w:val="00881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6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3066</Words>
  <Characters>17477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cp:lastPrinted>2015-11-30T16:09:00Z</cp:lastPrinted>
  <dcterms:created xsi:type="dcterms:W3CDTF">2015-11-30T16:09:00Z</dcterms:created>
  <dcterms:modified xsi:type="dcterms:W3CDTF">2015-11-30T16:18:00Z</dcterms:modified>
</cp:coreProperties>
</file>