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CA" w:rsidRPr="008E55BB" w:rsidRDefault="00EC75CA" w:rsidP="00EC75CA">
      <w:pPr>
        <w:rPr>
          <w:rFonts w:ascii="Arial" w:hAnsi="Arial" w:cs="Arial"/>
          <w:b/>
          <w:position w:val="0"/>
          <w:sz w:val="18"/>
          <w:szCs w:val="18"/>
        </w:rPr>
      </w:pPr>
      <w:r w:rsidRPr="008E55BB">
        <w:rPr>
          <w:rFonts w:ascii="Arial" w:hAnsi="Arial" w:cs="Arial"/>
          <w:b/>
          <w:position w:val="0"/>
          <w:sz w:val="18"/>
          <w:szCs w:val="18"/>
        </w:rPr>
        <w:t>9 Nisan 2008 ÇARŞAMBA</w:t>
      </w:r>
    </w:p>
    <w:p w:rsidR="00EC75CA" w:rsidRPr="008E55BB" w:rsidRDefault="00EC75CA" w:rsidP="00EC75CA">
      <w:pPr>
        <w:rPr>
          <w:rFonts w:ascii="Arial" w:hAnsi="Arial" w:cs="Arial"/>
          <w:b/>
          <w:position w:val="0"/>
          <w:sz w:val="18"/>
          <w:szCs w:val="18"/>
        </w:rPr>
      </w:pPr>
      <w:r w:rsidRPr="008E55BB">
        <w:rPr>
          <w:rFonts w:ascii="Arial" w:hAnsi="Arial" w:cs="Arial"/>
          <w:b/>
          <w:position w:val="0"/>
          <w:sz w:val="18"/>
          <w:szCs w:val="18"/>
        </w:rPr>
        <w:t>Sayı : 26842</w:t>
      </w:r>
    </w:p>
    <w:p w:rsidR="00EC75CA" w:rsidRPr="008E55BB" w:rsidRDefault="00EC75CA" w:rsidP="00EC75CA">
      <w:pPr>
        <w:rPr>
          <w:rFonts w:ascii="Arial" w:hAnsi="Arial" w:cs="Arial"/>
          <w:position w:val="0"/>
          <w:sz w:val="20"/>
          <w:szCs w:val="20"/>
        </w:rPr>
      </w:pPr>
    </w:p>
    <w:p w:rsidR="00EC75CA" w:rsidRDefault="00EC75CA" w:rsidP="00EC75CA">
      <w:pPr>
        <w:tabs>
          <w:tab w:val="left" w:pos="567"/>
        </w:tabs>
        <w:spacing w:line="240" w:lineRule="exact"/>
        <w:jc w:val="both"/>
        <w:rPr>
          <w:rFonts w:ascii="Arial" w:hAnsi="Arial" w:cs="Arial"/>
          <w:position w:val="0"/>
          <w:sz w:val="20"/>
          <w:szCs w:val="20"/>
          <w:u w:val="single"/>
        </w:rPr>
      </w:pPr>
      <w:r w:rsidRPr="008E55BB">
        <w:rPr>
          <w:rFonts w:ascii="Arial" w:hAnsi="Arial" w:cs="Arial"/>
          <w:position w:val="0"/>
          <w:sz w:val="20"/>
          <w:szCs w:val="20"/>
          <w:u w:val="single"/>
        </w:rPr>
        <w:t>Maliye Bakanlığından:</w:t>
      </w:r>
    </w:p>
    <w:p w:rsidR="00EC75CA" w:rsidRPr="008E55BB" w:rsidRDefault="00EC75CA" w:rsidP="00EC75CA">
      <w:pPr>
        <w:tabs>
          <w:tab w:val="left" w:pos="567"/>
        </w:tabs>
        <w:spacing w:line="240" w:lineRule="exact"/>
        <w:jc w:val="both"/>
        <w:rPr>
          <w:rFonts w:ascii="Arial" w:hAnsi="Arial" w:cs="Arial"/>
          <w:position w:val="0"/>
          <w:sz w:val="20"/>
          <w:szCs w:val="20"/>
          <w:u w:val="single"/>
        </w:rPr>
      </w:pPr>
    </w:p>
    <w:p w:rsidR="00EC75CA" w:rsidRPr="008E55BB" w:rsidRDefault="00EC75CA" w:rsidP="00EC75CA">
      <w:pPr>
        <w:pStyle w:val="Balk2"/>
      </w:pPr>
      <w:bookmarkStart w:id="0" w:name="_Toc195504937"/>
      <w:r w:rsidRPr="008E55BB">
        <w:t>MALİ SUÇLARI ARAŞTIRMA KURULU GENEL TEBLİĞİ (SIRA NO: 5)</w:t>
      </w:r>
      <w:bookmarkEnd w:id="0"/>
    </w:p>
    <w:p w:rsidR="00EC75CA" w:rsidRPr="008E55BB" w:rsidRDefault="00EC75CA" w:rsidP="00EC75CA">
      <w:pPr>
        <w:tabs>
          <w:tab w:val="left" w:pos="567"/>
        </w:tabs>
        <w:spacing w:before="57" w:line="240" w:lineRule="exact"/>
        <w:jc w:val="center"/>
        <w:rPr>
          <w:rFonts w:ascii="Arial" w:hAnsi="Arial" w:cs="Arial"/>
          <w:b/>
          <w:position w:val="0"/>
          <w:sz w:val="20"/>
          <w:szCs w:val="20"/>
        </w:rPr>
      </w:pPr>
    </w:p>
    <w:p w:rsidR="00EC75CA" w:rsidRPr="00B0646A" w:rsidRDefault="00EC75CA" w:rsidP="00EC75CA">
      <w:pPr>
        <w:pStyle w:val="ListeParagraf"/>
        <w:tabs>
          <w:tab w:val="left" w:pos="567"/>
        </w:tabs>
        <w:spacing w:line="240" w:lineRule="exact"/>
        <w:ind w:left="0"/>
        <w:jc w:val="both"/>
        <w:rPr>
          <w:rFonts w:ascii="Arial" w:hAnsi="Arial" w:cs="Arial"/>
          <w:b/>
          <w:position w:val="0"/>
          <w:sz w:val="20"/>
          <w:szCs w:val="20"/>
        </w:rPr>
      </w:pPr>
      <w:r>
        <w:rPr>
          <w:rFonts w:ascii="Arial" w:hAnsi="Arial" w:cs="Arial"/>
          <w:b/>
          <w:position w:val="0"/>
          <w:sz w:val="20"/>
          <w:szCs w:val="20"/>
        </w:rPr>
        <w:t xml:space="preserve">1. </w:t>
      </w:r>
      <w:r w:rsidRPr="00B0646A">
        <w:rPr>
          <w:rFonts w:ascii="Arial" w:hAnsi="Arial" w:cs="Arial"/>
          <w:b/>
          <w:position w:val="0"/>
          <w:sz w:val="20"/>
          <w:szCs w:val="20"/>
        </w:rPr>
        <w:t>Konu</w:t>
      </w:r>
    </w:p>
    <w:p w:rsidR="00EC75CA" w:rsidRPr="00EC75CA" w:rsidRDefault="00EC75CA" w:rsidP="00EC75CA">
      <w:pPr>
        <w:tabs>
          <w:tab w:val="left" w:pos="567"/>
        </w:tabs>
        <w:spacing w:line="240" w:lineRule="exact"/>
        <w:jc w:val="both"/>
        <w:rPr>
          <w:rFonts w:ascii="Arial" w:hAnsi="Arial" w:cs="Arial"/>
          <w:position w:val="0"/>
          <w:sz w:val="20"/>
          <w:szCs w:val="20"/>
        </w:rPr>
      </w:pPr>
      <w:r>
        <w:rPr>
          <w:rFonts w:ascii="Arial" w:hAnsi="Arial" w:cs="Arial"/>
          <w:b/>
          <w:position w:val="0"/>
          <w:sz w:val="20"/>
          <w:szCs w:val="20"/>
        </w:rPr>
        <w:tab/>
      </w:r>
      <w:r w:rsidRPr="00D527CF">
        <w:rPr>
          <w:rFonts w:ascii="Arial" w:hAnsi="Arial" w:cs="Arial"/>
          <w:position w:val="0"/>
          <w:sz w:val="20"/>
          <w:szCs w:val="20"/>
        </w:rPr>
        <w:t xml:space="preserve">9/1/2008 tarihli ve 26751 sayılı Resmî Gazete’de yayımlanarak 1/4/2008 tarihinde yürürlüğe giren </w:t>
      </w:r>
      <w:r w:rsidRPr="00EC75CA">
        <w:rPr>
          <w:rFonts w:ascii="Arial" w:hAnsi="Arial" w:cs="Arial"/>
          <w:position w:val="0"/>
          <w:sz w:val="20"/>
          <w:szCs w:val="20"/>
        </w:rPr>
        <w:t>Suç Gelirlerinin Aklanmasının ve Terörün Finansmanının Önlenmesine Dair Tedbirler Hakkında Yönetmeliğin (Bundan sonra Yönetmelik olarak anılacaktır.) üçüncü bölümünde müşterinin tanınmasına ilişkin esaslar yer almaktadır.</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Söz konusu Yönetmeliğin 26 ncı maddesinde müşterinin tanınmasına yönelik tedbirler bakımından yükümlülerin daha basit tedbirler almalarına Hazine ve Maliye Bakanlığınca izin verilebileceği ve bu madde kapsamında uygulanabilecek tedbirler ile işlem türlerini belirleme konusunda da Hazine ve Maliye Bakanlığının yetkili olduğu belirtilmiştir.</w:t>
      </w:r>
    </w:p>
    <w:p w:rsidR="00EC75CA" w:rsidRPr="00D527CF"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xml:space="preserve">Bu Tebliğin konusunu Yönetmelik uyarınca yükümlü sayılanlar tarafından müşterinin tanınması ilkesi kapsamında uyulması gereken basitleştirilmiş </w:t>
      </w:r>
      <w:r w:rsidRPr="00D527CF">
        <w:rPr>
          <w:rFonts w:ascii="Arial" w:hAnsi="Arial" w:cs="Arial"/>
          <w:position w:val="0"/>
          <w:sz w:val="20"/>
          <w:szCs w:val="20"/>
        </w:rPr>
        <w:t>tedbirler ile diğer açıklamalar oluşturmaktadır.</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b/>
          <w:position w:val="0"/>
          <w:sz w:val="20"/>
          <w:szCs w:val="20"/>
        </w:rPr>
        <w:t>2. Basitleştirilmiş Tedbirler</w:t>
      </w:r>
    </w:p>
    <w:p w:rsidR="00EC75CA" w:rsidRPr="008E55BB" w:rsidRDefault="00EC75CA" w:rsidP="00EC75CA">
      <w:pPr>
        <w:tabs>
          <w:tab w:val="left" w:pos="567"/>
        </w:tabs>
        <w:spacing w:line="240" w:lineRule="exact"/>
        <w:jc w:val="both"/>
        <w:rPr>
          <w:rFonts w:ascii="Arial" w:hAnsi="Arial" w:cs="Arial"/>
          <w:b/>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 xml:space="preserve">2.1. Basitleştirilmiş Tedbirlerin Mahiyeti ve Sınırları </w:t>
      </w:r>
    </w:p>
    <w:p w:rsidR="00EC75CA" w:rsidRPr="00D527CF"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D527CF">
        <w:rPr>
          <w:rFonts w:ascii="Arial" w:hAnsi="Arial" w:cs="Arial"/>
          <w:position w:val="0"/>
          <w:sz w:val="20"/>
          <w:szCs w:val="20"/>
        </w:rPr>
        <w:t>Yönetmeliğin üçüncü bölümünde müşterinin tanınması ilkesiyle ilgili uyulması gereken hususlar ile bunların uygulanmasına ilişkin açıklamalara yer verilmiştir.</w:t>
      </w:r>
    </w:p>
    <w:p w:rsidR="00EC75CA" w:rsidRPr="00D527CF"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D527CF">
        <w:rPr>
          <w:rFonts w:ascii="Arial" w:hAnsi="Arial" w:cs="Arial"/>
          <w:position w:val="0"/>
          <w:sz w:val="20"/>
          <w:szCs w:val="20"/>
        </w:rPr>
        <w:t>Bu Tebliğ ile işlem türleri bakımından aklama ve terörün finansmanı riskinin düşük olarak değerlendirilebileceği durumlarda, müşterinin tanınması ilkesiyle ilgili uyulması gereken hususların basitleştirilerek uygulanmasına imkân tanınmaktadır.</w:t>
      </w:r>
    </w:p>
    <w:p w:rsidR="00EC75CA" w:rsidRPr="00D527CF"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D527CF">
        <w:rPr>
          <w:rFonts w:ascii="Arial" w:hAnsi="Arial" w:cs="Arial"/>
          <w:position w:val="0"/>
          <w:sz w:val="20"/>
          <w:szCs w:val="20"/>
        </w:rPr>
        <w:t>Bu kapsamda basitleştirilmiş tedbirler, Yönetmeliğin 5 ila 14 üncü maddelerinde geçen kimlik tespiti, 17 nci maddesinde geçen </w:t>
      </w:r>
      <w:r w:rsidRPr="00D527CF">
        <w:rPr>
          <w:rFonts w:ascii="Arial" w:hAnsi="Arial" w:cs="Arial"/>
          <w:position w:val="0"/>
          <w:sz w:val="20"/>
          <w:szCs w:val="20"/>
          <w:u w:val="single"/>
        </w:rPr>
        <w:t>başkası  hesabına hareket edenlerde kimlik tespiti, 17/A maddesinde geçen gerçek faydalanıcının tanınması</w:t>
      </w:r>
      <w:r w:rsidRPr="00D527CF">
        <w:rPr>
          <w:rFonts w:ascii="Arial" w:hAnsi="Arial" w:cs="Arial"/>
          <w:position w:val="0"/>
          <w:sz w:val="20"/>
          <w:szCs w:val="20"/>
        </w:rPr>
        <w:t> ve 19 uncu maddesinde geçen müşterinin durumunun ve işlemlerin izlenmesine ilişkin yükümlülükler ile sınırlı olup, kapsamı Tebliğin (2.2) nci bölümünde işlem bazında ayrı ayrı gösterilmiştir.</w:t>
      </w:r>
    </w:p>
    <w:p w:rsidR="00EC75CA" w:rsidRPr="00D527CF"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D527CF">
        <w:rPr>
          <w:rFonts w:ascii="Arial" w:hAnsi="Arial" w:cs="Arial"/>
          <w:position w:val="0"/>
          <w:sz w:val="20"/>
          <w:szCs w:val="20"/>
        </w:rPr>
        <w:t>Basitleştirilmiş tedbir uygulanmasına imkân tanınan durumlarda yükümlüler, müşterinin ve işlemin, Tebliğin  (2.2) nci bölümünde belirtilen niteliklere sahip olup olmadığı konusunda yeterli bilgiye sahip olmalıdırlar. Bu amaçla yükümlüler; müşteriden alınacak bilgilerden, kamuya açık kaynaklardan, müşterinin daha önce iş ilişkisine girdiği üçüncü kişilerden ve diğer kaynaklardan faydalanır ve elde ettikleri bilgileri yazılı olarak veya elektronik ortamda kaydederler.</w:t>
      </w:r>
    </w:p>
    <w:p w:rsidR="00EC75CA" w:rsidRPr="00D527CF"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D527CF">
        <w:rPr>
          <w:rFonts w:ascii="Arial" w:hAnsi="Arial" w:cs="Arial"/>
          <w:position w:val="0"/>
          <w:sz w:val="20"/>
          <w:szCs w:val="20"/>
        </w:rPr>
        <w:t xml:space="preserve">Basitleştirilmiş tedbir uygulanabilecek her bir durum için yükümlüler; aklama veya terörün finansmanı bakımından kötüye kullanımın söz konusu olup olmayacağını ve dolayısıyla aklama ve </w:t>
      </w:r>
      <w:r w:rsidRPr="00EC75CA">
        <w:rPr>
          <w:rFonts w:ascii="Arial" w:hAnsi="Arial" w:cs="Arial"/>
          <w:position w:val="0"/>
          <w:sz w:val="20"/>
          <w:szCs w:val="20"/>
        </w:rPr>
        <w:t xml:space="preserve">terörün finansmanı riskini her bir işlem bakımından ayrı ayrı değerlendirmelidirler. Bu kapsamda riskli olarak değerlendirilen işlemlerde yükümlüler, basitleştirilmiş tedbir uygulamasından yararlanamaz. Aklama veya terörün finansmanı şüphesinin söz konusu olduğu durumlarda </w:t>
      </w:r>
      <w:r w:rsidRPr="00EC75CA">
        <w:rPr>
          <w:rFonts w:ascii="Arial" w:hAnsi="Arial" w:cs="Arial"/>
          <w:position w:val="0"/>
          <w:sz w:val="20"/>
          <w:szCs w:val="20"/>
        </w:rPr>
        <w:t>ise</w:t>
      </w:r>
      <w:r w:rsidRPr="00EC75CA">
        <w:rPr>
          <w:rFonts w:ascii="Arial" w:hAnsi="Arial" w:cs="Arial"/>
          <w:position w:val="0"/>
          <w:sz w:val="20"/>
          <w:szCs w:val="20"/>
        </w:rPr>
        <w:t xml:space="preserve"> basitleştirilmiş tedbir uygulanmaz</w:t>
      </w:r>
      <w:r w:rsidRPr="00EC75CA">
        <w:rPr>
          <w:rFonts w:ascii="Arial" w:hAnsi="Arial" w:cs="Arial"/>
          <w:position w:val="0"/>
          <w:sz w:val="20"/>
          <w:szCs w:val="20"/>
        </w:rPr>
        <w:t xml:space="preserve"> </w:t>
      </w:r>
      <w:r w:rsidRPr="00EC75CA">
        <w:rPr>
          <w:rFonts w:ascii="Arial" w:hAnsi="Arial" w:cs="Arial"/>
          <w:position w:val="0"/>
          <w:sz w:val="20"/>
          <w:szCs w:val="20"/>
        </w:rPr>
        <w:t>ve konu şüpheli işlem bildirimi olarak Mali Suçları Araştırma Kurulu Başkanlığı</w:t>
      </w:r>
      <w:r w:rsidRPr="00EC75CA">
        <w:rPr>
          <w:rFonts w:ascii="Arial" w:hAnsi="Arial" w:cs="Arial"/>
          <w:strike/>
          <w:position w:val="0"/>
          <w:sz w:val="20"/>
          <w:szCs w:val="20"/>
        </w:rPr>
        <w:t>’</w:t>
      </w:r>
      <w:r w:rsidRPr="00EC75CA">
        <w:rPr>
          <w:rFonts w:ascii="Arial" w:hAnsi="Arial" w:cs="Arial"/>
          <w:position w:val="0"/>
          <w:sz w:val="20"/>
          <w:szCs w:val="20"/>
        </w:rPr>
        <w:t>na bildirirler.</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2.2. Basitleştirilmiş Tedbirlerin Uygulanabileceği Durumlar</w:t>
      </w:r>
    </w:p>
    <w:p w:rsidR="00EC75CA" w:rsidRPr="008E55BB" w:rsidRDefault="00EC75CA" w:rsidP="00EC75CA">
      <w:pPr>
        <w:tabs>
          <w:tab w:val="left" w:pos="567"/>
        </w:tabs>
        <w:spacing w:line="240" w:lineRule="exact"/>
        <w:jc w:val="both"/>
        <w:rPr>
          <w:rFonts w:ascii="Arial" w:hAnsi="Arial" w:cs="Arial"/>
          <w:b/>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b/>
          <w:position w:val="0"/>
          <w:sz w:val="20"/>
          <w:szCs w:val="20"/>
        </w:rPr>
        <w:tab/>
        <w:t xml:space="preserve">2.2.1. Finansal Kuruluşların Kendi Aralarında Gerçekleştirdikleri İşlemler </w:t>
      </w:r>
    </w:p>
    <w:p w:rsidR="00EC75CA" w:rsidRPr="0027553B"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Yönetmeliğin 3 üncü maddesinin birinci fıkrasının (f) bendinde tanımlanan finansal kuruluşların kendi aralarında gerçekleştirdikleri işlemlerde, müşteri konumunda olan finansal kuruluşa ilişkin olarak Yönetmeliğin 7 nci maddesinin birinci fıkrasındaki bilgiler alınarak kaydedilir. Bu bilgilerin Yönetmeliğin anılan maddesi uyarınca teyidi zorunlu değildir.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position w:val="0"/>
          <w:sz w:val="20"/>
          <w:szCs w:val="20"/>
        </w:rPr>
        <w:t>Bu kapsamdaki müşterilerle ilgili olarak Yönetmeliğin 17 nci maddesindeki yükümlülükler ile 17/A maddesindeki teyide ilişkin yükümlülükler uygulanmayabilir. Ayrıca Yönetmeliğin 19 uncu maddesi uyarınca müşterinin durumunun sürekli iş ilişkisi kapsamında izlenmesi ve müşteri hakkındaki bilgi, belge ve kayıtların güncellenmesi sıklığı azaltılabilir.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position w:val="0"/>
          <w:sz w:val="20"/>
          <w:szCs w:val="20"/>
        </w:rPr>
        <w:t xml:space="preserve">Türkiye’de yerleşik bir finansal kuruluşun müşterisinin yabancı ülkede yerleşik bir finansal kuruluş olması durumunda yukarıda bahsedilen basitleştirilmiş tedbirlerin uygulanabilmesi için, </w:t>
      </w:r>
      <w:r w:rsidRPr="0027553B">
        <w:rPr>
          <w:rFonts w:ascii="Arial" w:hAnsi="Arial" w:cs="Arial"/>
          <w:position w:val="0"/>
          <w:sz w:val="20"/>
          <w:szCs w:val="20"/>
        </w:rPr>
        <w:lastRenderedPageBreak/>
        <w:t>yabancı finansal kuruluşun aklama ve terörün finansmanıyla mücadele alanındaki uluslararası standartlara uygun düzenleme ve denetime tabi olan bir ülkede yerleşik olması gerekmektedir.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Öte yandan finansal kuruluşlar, elektronik ortamda yüz yüze gerçekleştirilmeyen işlemler bakımından güvenli iletişim ağlarının kullanılması, işlem talep eden veya talimat veren kişinin kimliğini ve yetkisini tespite ve doğrulamaya yarayan şifrelerin kullanılması da dahil gerekli tedbirleri almak zorundadırlar.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position w:val="0"/>
          <w:sz w:val="20"/>
          <w:szCs w:val="20"/>
        </w:rPr>
        <w:t>21/5/2007 tarihli ve 26528 sayılı Resmî Gazete’de yayımlanan Kıymetli Madenler Borsası Aracı Kuruluşlarının Faaliyet Esasları ile Kıymetli Madenler Aracı Kurumlarının Kuruluşu Hakkında Yönetmelikte tanımlanan kıymetli madenler aracı kuruluşlarının Borsa İstanbul A.Ş. bünyesinde ve kendi aralarında gerçekleştirdikleri işlemler bakımından da bu bölümün birinci ve ikinci fıkraları uygulanır. </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6"/>
        </w:tabs>
        <w:spacing w:line="240" w:lineRule="exact"/>
        <w:jc w:val="both"/>
        <w:rPr>
          <w:rFonts w:ascii="Arial" w:hAnsi="Arial" w:cs="Arial"/>
          <w:b/>
          <w:position w:val="0"/>
          <w:sz w:val="20"/>
          <w:szCs w:val="20"/>
        </w:rPr>
      </w:pPr>
      <w:r>
        <w:rPr>
          <w:rFonts w:ascii="Arial" w:hAnsi="Arial" w:cs="Arial"/>
          <w:b/>
          <w:position w:val="0"/>
          <w:sz w:val="20"/>
          <w:szCs w:val="20"/>
        </w:rPr>
        <w:tab/>
      </w:r>
      <w:r w:rsidRPr="008E55BB">
        <w:rPr>
          <w:rFonts w:ascii="Arial" w:hAnsi="Arial" w:cs="Arial"/>
          <w:b/>
          <w:position w:val="0"/>
          <w:sz w:val="20"/>
          <w:szCs w:val="20"/>
        </w:rPr>
        <w:t xml:space="preserve">2.2.2. Finansal Kuruluşlar Dışındaki Yükümlülerin Müşterilerinin Bankalar Olduğu İşlemler </w:t>
      </w:r>
    </w:p>
    <w:p w:rsidR="00EC75CA" w:rsidRPr="0027553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Ülkemizde veya aklama ve terörün finansmanıyla mücadele alanındaki uluslararası standartlara uygun düzenleme ve denetime tabi olan diğer ülkelerde yerleşik bankaların, finansal kuruluşlar dışındaki yükümlülerin müşterisi olduğu işlemlerde; yükümlü tarafından, müşteri konumunda olan bankaya ilişkin olarak Yönetmeliğin 7 nci maddesinin birinci fıkrasındaki bilgiler alınarak kaydedilir. Bu bilgilerin Yönetmeliğin anılan maddesi uyarınca teyidi zorunlu değildir.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b/>
          <w:bCs/>
          <w:position w:val="0"/>
          <w:sz w:val="20"/>
          <w:szCs w:val="20"/>
        </w:rPr>
        <w:t> </w:t>
      </w:r>
      <w:r w:rsidRPr="0027553B">
        <w:rPr>
          <w:rFonts w:ascii="Arial" w:hAnsi="Arial" w:cs="Arial"/>
          <w:position w:val="0"/>
          <w:sz w:val="20"/>
          <w:szCs w:val="20"/>
        </w:rPr>
        <w:t>Bu kapsamdaki müşterilerle ilgili olarak Yönetmeliğin 17 nci maddesindeki yükümlülükler ile 17/A maddesindeki teyide ilişkin yükümlülükler uygulanmayabilir. Ayrıca Yönetmeliğin 19 uncu maddesi uyarınca müşterinin durumunun sürekli iş ilişkisi kapsamında izlenmesi ve müşteri hakkındaki bilgi, belge ve kayıtların güncellenmesi sıklığı azaltılabilir.</w:t>
      </w:r>
    </w:p>
    <w:p w:rsidR="00EC75CA" w:rsidRPr="008E55BB" w:rsidRDefault="00EC75CA" w:rsidP="00EC75CA">
      <w:pPr>
        <w:tabs>
          <w:tab w:val="left" w:pos="566"/>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position w:val="0"/>
          <w:sz w:val="20"/>
          <w:szCs w:val="20"/>
        </w:rPr>
      </w:pPr>
      <w:r>
        <w:rPr>
          <w:rFonts w:ascii="Arial" w:hAnsi="Arial" w:cs="Arial"/>
          <w:b/>
          <w:position w:val="0"/>
          <w:sz w:val="20"/>
          <w:szCs w:val="20"/>
        </w:rPr>
        <w:tab/>
      </w:r>
      <w:r w:rsidRPr="008E55BB">
        <w:rPr>
          <w:rFonts w:ascii="Arial" w:hAnsi="Arial" w:cs="Arial"/>
          <w:b/>
          <w:position w:val="0"/>
          <w:sz w:val="20"/>
          <w:szCs w:val="20"/>
        </w:rPr>
        <w:t xml:space="preserve">2.2.3. </w:t>
      </w:r>
      <w:r w:rsidRPr="0027553B">
        <w:rPr>
          <w:rFonts w:ascii="Arial" w:hAnsi="Arial" w:cs="Arial"/>
          <w:b/>
          <w:bCs/>
          <w:position w:val="0"/>
          <w:sz w:val="20"/>
          <w:szCs w:val="20"/>
        </w:rPr>
        <w:t>Müşterinin Kamu İdaresi veya Kamu Kurumu Niteliğindeki Meslek Kuruluşu Olduğu İşlemler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5018 sayılı Kamu Mali Yönetimi ve Kontrol Kanununa</w:t>
      </w:r>
      <w:r w:rsidRPr="0027553B">
        <w:rPr>
          <w:rFonts w:ascii="Arial" w:hAnsi="Arial" w:cs="Arial"/>
          <w:position w:val="0"/>
          <w:sz w:val="20"/>
          <w:szCs w:val="20"/>
          <w:vertAlign w:val="superscript"/>
        </w:rPr>
        <w:t>1</w:t>
      </w:r>
      <w:r w:rsidRPr="0027553B">
        <w:rPr>
          <w:rFonts w:ascii="Arial" w:hAnsi="Arial" w:cs="Arial"/>
          <w:position w:val="0"/>
          <w:sz w:val="20"/>
          <w:szCs w:val="20"/>
        </w:rPr>
        <w:t> göre genel yönetim kapsamında olan kamu idareleri ile kamu kurumu niteliğindeki meslek kuruluşlarının müşteri olması durumunda yükümlüler; bu kurum ve kuruluşlar adına işlem yapan gerçek kişilerin Yönetmeliğin 6 ncı maddesinin birinci fıkrasındaki bilgilerini alarak kaydeder ve yetki durumlarını da mevzuata uygun olarak düzenlenmiş yetki belgesi üzerinden teyit ederler. Yönetmeliğin 6 ncı maddesi uyarınca alınan bilgilerin teyidi zorunlu değildir.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Bu kapsamdaki işlemlerle ilgili olarak Yönetmeliğin 17 nci maddesinde </w:t>
      </w:r>
      <w:r w:rsidRPr="0027553B">
        <w:rPr>
          <w:rFonts w:ascii="Arial" w:hAnsi="Arial" w:cs="Arial"/>
          <w:position w:val="0"/>
          <w:sz w:val="20"/>
          <w:szCs w:val="20"/>
          <w:u w:val="single"/>
        </w:rPr>
        <w:t>başkası hesabına hareket edenlerde kimlik tespiti, 17/A maddesinde geçen gerçek faydalanıcının tanınması</w:t>
      </w:r>
      <w:r w:rsidRPr="0027553B">
        <w:rPr>
          <w:rFonts w:ascii="Arial" w:hAnsi="Arial" w:cs="Arial"/>
          <w:position w:val="0"/>
          <w:sz w:val="20"/>
          <w:szCs w:val="20"/>
        </w:rPr>
        <w:t> ile 19 uncu maddesinde geçen müşterinin durumunun ve işlemlerin izlenmesi yükümlülüklerinin uygulanması zorunluluğu bulunmamaktadır.</w:t>
      </w:r>
    </w:p>
    <w:p w:rsidR="00EC75CA" w:rsidRPr="00EC75CA" w:rsidRDefault="00EC75CA" w:rsidP="00EC75CA">
      <w:pPr>
        <w:tabs>
          <w:tab w:val="left" w:pos="567"/>
        </w:tabs>
        <w:spacing w:line="240" w:lineRule="exact"/>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xml:space="preserve">Merkezi yönetim kapsamındaki kamu idarelerinin ödeme ve tahsilatlarına ilişkin olarak Türkiye Cumhuriyet Merkez Bankası ve Kamu Haznedarlığı Genel Tebliği’nde belirlenen banka ve finansal kuruluşlar nezdinde açılacak hesaplar üzerinde Bütünleşik Kamu Mali Yönetim Bilişim Sistemi kapsamında </w:t>
      </w:r>
      <w:r w:rsidRPr="00EC75CA">
        <w:rPr>
          <w:rFonts w:ascii="Arial" w:hAnsi="Arial" w:cs="Arial"/>
          <w:position w:val="0"/>
          <w:sz w:val="20"/>
          <w:szCs w:val="20"/>
        </w:rPr>
        <w:t>gerçekleştirilecek işlemlerde, kamu idaresi adına işlem yapan gerçek kişilere ilişkin olarak alınması gereken bilgiler anılan sistem vasıtasıyla gönderilebilir. Söz konusu hesaplar üzerinde sistem vasıtasıyla yapılan işlemlerde muhasebe birimlerince kullanılan güvenli elektronik imza, alınması gereken imza hükmündedir.</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Yukarıdaki hükümler, 8/6/1984 tarihli ve 233 sayılı Kamu İktisadi Teşebbüsleri Hakkında Kanun Hükmünde Kararname ile düzenlenmiş bulunan kamu iktisadi teşebbüsleri için de uygulanır.</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b/>
          <w:position w:val="0"/>
          <w:sz w:val="20"/>
          <w:szCs w:val="20"/>
        </w:rPr>
        <w:tab/>
        <w:t>2.2.4. Müşterinin Uluslararası Kuruluş veya Türkiye’de Mukim Elçilik ya da Konsolosluk Olduğu İşlemler</w:t>
      </w:r>
      <w:r w:rsidRPr="008E55BB">
        <w:rPr>
          <w:rFonts w:ascii="Arial" w:hAnsi="Arial" w:cs="Arial"/>
          <w:position w:val="0"/>
          <w:sz w:val="20"/>
          <w:szCs w:val="20"/>
        </w:rPr>
        <w:t xml:space="preserve"> </w:t>
      </w:r>
    </w:p>
    <w:p w:rsidR="00EC75CA" w:rsidRPr="0027553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Müşterinin Uluslararası Para Fonu, Dünya Bankası, Avrupa Kalkınma Bankası gibi kuruluşlar veya Türkiye’de mukim elçilik ya da konsolosluk olduğu durumda yükümlüler, bu kuruluşlar adına işlem yapan gerçek kişilerin Yönetmeliğin 6 ncı maddesinin birinci fıkrasındaki bilgilerini alarak kaydeder ve yetki durumlarını da yetkili olduklarını gösterir bir belge üzerinden teyit ederler. Yönetmeliğin 6 ncı maddesi uyarınca alınan bilgilerin teyidi zorunlu değildir.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Bu kapsamdaki işlemlerle ilgili olarak Yönetmeliğin 17 nci maddesinde geçen </w:t>
      </w:r>
      <w:r w:rsidRPr="0027553B">
        <w:rPr>
          <w:rFonts w:ascii="Arial" w:hAnsi="Arial" w:cs="Arial"/>
          <w:position w:val="0"/>
          <w:sz w:val="20"/>
          <w:szCs w:val="20"/>
          <w:u w:val="single"/>
        </w:rPr>
        <w:t>başkası hesabına hareket edenlerde kimlik tespiti, 17/A maddesinde geçen gerçek faydalanıcının tanınması</w:t>
      </w:r>
      <w:r w:rsidRPr="0027553B">
        <w:rPr>
          <w:rFonts w:ascii="Arial" w:hAnsi="Arial" w:cs="Arial"/>
          <w:position w:val="0"/>
          <w:sz w:val="20"/>
          <w:szCs w:val="20"/>
        </w:rPr>
        <w:t> ile 19 uncu maddesinde geçen müşterinin durumunun ve işlemlerin izlenmesi yükümlülüklerinin uygulanması zorunluluğu bulunmamaktadır.</w:t>
      </w:r>
    </w:p>
    <w:p w:rsidR="00EC75CA" w:rsidRDefault="00EC75CA" w:rsidP="00EC75CA">
      <w:pPr>
        <w:tabs>
          <w:tab w:val="left" w:pos="566"/>
        </w:tabs>
        <w:spacing w:line="240" w:lineRule="exact"/>
        <w:jc w:val="both"/>
        <w:rPr>
          <w:rFonts w:ascii="Arial" w:hAnsi="Arial" w:cs="Arial"/>
          <w:position w:val="0"/>
          <w:sz w:val="20"/>
          <w:szCs w:val="20"/>
        </w:rPr>
      </w:pPr>
    </w:p>
    <w:p w:rsidR="00EC75CA" w:rsidRPr="008E55BB" w:rsidRDefault="00EC75CA" w:rsidP="00EC75CA">
      <w:pPr>
        <w:tabs>
          <w:tab w:val="left" w:pos="566"/>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strike/>
          <w:position w:val="0"/>
          <w:sz w:val="20"/>
          <w:szCs w:val="20"/>
        </w:rPr>
      </w:pPr>
      <w:r w:rsidRPr="008E55BB">
        <w:rPr>
          <w:rFonts w:ascii="Arial" w:hAnsi="Arial" w:cs="Arial"/>
          <w:position w:val="0"/>
          <w:sz w:val="20"/>
          <w:szCs w:val="20"/>
        </w:rPr>
        <w:tab/>
      </w:r>
      <w:r w:rsidRPr="008E55BB">
        <w:rPr>
          <w:rFonts w:ascii="Arial" w:hAnsi="Arial" w:cs="Arial"/>
          <w:strike/>
          <w:position w:val="0"/>
          <w:sz w:val="20"/>
          <w:szCs w:val="20"/>
        </w:rPr>
        <w:t xml:space="preserve"> </w:t>
      </w:r>
    </w:p>
    <w:p w:rsidR="00EC75CA" w:rsidRPr="008E55B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b/>
          <w:position w:val="0"/>
          <w:sz w:val="20"/>
          <w:szCs w:val="20"/>
        </w:rPr>
        <w:tab/>
        <w:t xml:space="preserve">2.2.5. </w:t>
      </w:r>
      <w:r w:rsidRPr="0027553B">
        <w:rPr>
          <w:rFonts w:ascii="Arial" w:hAnsi="Arial" w:cs="Arial"/>
          <w:b/>
          <w:bCs/>
          <w:position w:val="0"/>
          <w:sz w:val="20"/>
          <w:szCs w:val="20"/>
        </w:rPr>
        <w:t>Maaş Ödemesi Kapsamında Toplu Müşteri Kabulüne İlişkin İşlemler</w:t>
      </w:r>
    </w:p>
    <w:p w:rsidR="00EC75CA" w:rsidRPr="0027553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Bankaların, 5018 sayılı Kanuna göre genel yönetim kapsamındaki kamu idareleri ile kamu kurumu niteliğindeki meslek kuruluşları veya 100’den fazla personel istihdam eden kurum,  kuruluş veya işletmelerin çalışanlarına maaş hesabı açılması amacıyla toplu müşteri kabulü yoluyla sürekli iş ilişkisi tesisinde, maaş ödemesi yapılacak gerçek kişilerin;</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Adı, soyadı,</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Doğum yeri ve tarihi,</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Uyruğu,</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Türk vatandaşları için anne ve baba adı ile T.C. kimlik numarası,</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İşyeri veya ikametgah adresi,</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Varsa telefon numarası, faks numarası, elektronik posta adresi</w:t>
      </w:r>
    </w:p>
    <w:p w:rsidR="00EC75CA" w:rsidRPr="0027553B" w:rsidRDefault="00EC75CA" w:rsidP="00EC75CA">
      <w:pPr>
        <w:tabs>
          <w:tab w:val="left" w:pos="566"/>
        </w:tabs>
        <w:spacing w:line="240" w:lineRule="exact"/>
        <w:jc w:val="both"/>
        <w:rPr>
          <w:rFonts w:ascii="Arial" w:hAnsi="Arial" w:cs="Arial"/>
          <w:position w:val="0"/>
          <w:sz w:val="20"/>
          <w:szCs w:val="20"/>
        </w:rPr>
      </w:pPr>
      <w:r w:rsidRPr="0027553B">
        <w:rPr>
          <w:rFonts w:ascii="Arial" w:hAnsi="Arial" w:cs="Arial"/>
          <w:position w:val="0"/>
          <w:sz w:val="20"/>
          <w:szCs w:val="20"/>
        </w:rPr>
        <w:t>bilgileri alınır. Bu bilgilerden kimliğe ilişkin olanların teyidi Yönetmeliğin 6 ncı maddesine göre yapılır. Bu teyit işlemi, İçişleri Bakanlığı Nüfus ve Vatandaşlık İşleri Genel Müdürlüğü kimlik paylaşım sistemi veri tabanı kullanılarak da (elektronik görüntüsü alınmak suretiyle) yapılabilir.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Bankalar, müşterilerin kimliğine ilişkin olarak Yönetmeliğin 6 ncı maddesinde belirtilen kimlik belgeleri ile imza örneklerini işlemin yapılmasından itibaren en geç üç ay içinde alırlar. Adres teyidi de bu süre içerisinde yapılır. Bu kapsamda, maaş ödemesi yapılacak kişilerin isimleri ile birlikte çalıştığı kurumun açık adresinin bankaya bildirilmesi, işyeri adres bilgisinin teyidi için yeterli sayılır.</w:t>
      </w:r>
    </w:p>
    <w:p w:rsidR="00EC75CA" w:rsidRDefault="00EC75CA" w:rsidP="00EC75CA">
      <w:pPr>
        <w:tabs>
          <w:tab w:val="left" w:pos="566"/>
        </w:tabs>
        <w:spacing w:line="240" w:lineRule="exact"/>
        <w:jc w:val="both"/>
        <w:rPr>
          <w:rFonts w:ascii="Arial" w:hAnsi="Arial" w:cs="Arial"/>
          <w:b/>
          <w:position w:val="0"/>
          <w:sz w:val="20"/>
          <w:szCs w:val="20"/>
        </w:rPr>
      </w:pPr>
    </w:p>
    <w:p w:rsidR="00EC75CA" w:rsidRPr="008E55BB" w:rsidRDefault="00EC75CA" w:rsidP="00EC75CA">
      <w:pPr>
        <w:tabs>
          <w:tab w:val="left" w:pos="566"/>
        </w:tabs>
        <w:spacing w:line="240" w:lineRule="exact"/>
        <w:jc w:val="both"/>
        <w:rPr>
          <w:rFonts w:ascii="Arial" w:hAnsi="Arial" w:cs="Arial"/>
          <w:b/>
          <w:position w:val="0"/>
          <w:sz w:val="20"/>
          <w:szCs w:val="20"/>
        </w:rPr>
      </w:pPr>
      <w:r w:rsidRPr="008E55BB">
        <w:rPr>
          <w:rFonts w:ascii="Arial" w:hAnsi="Arial" w:cs="Arial"/>
          <w:b/>
          <w:position w:val="0"/>
          <w:sz w:val="20"/>
          <w:szCs w:val="20"/>
        </w:rPr>
        <w:tab/>
        <w:t xml:space="preserve">2.2.6. </w:t>
      </w:r>
      <w:r w:rsidRPr="0027553B">
        <w:rPr>
          <w:rFonts w:ascii="Arial" w:hAnsi="Arial" w:cs="Arial"/>
          <w:b/>
          <w:bCs/>
          <w:position w:val="0"/>
          <w:sz w:val="20"/>
          <w:szCs w:val="20"/>
        </w:rPr>
        <w:t>Uluslararası Kuruluşların Türkiye’de mukim birimlerinin veya Elçilik ve Konsolosluk Mensuplarının Maaş Ödemelerine İlişkin İşlemler</w:t>
      </w:r>
    </w:p>
    <w:p w:rsidR="00EC75CA" w:rsidRPr="0027553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Bankaların, uluslararası kuruluşların Türkiye’de mukim birimlerinin veya elçilik ve konsoloslukların mensuplarına maaş hesabı açılması amacıyla sürekli iş ilişkisi tesisinde,  maaş ödemesi yapılacak gerçek kişilerin;</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Adı, soyadı,</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Doğum yeri ve tarihi,</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Uyruğu,</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Türk vatandaşları için anne ve baba adı ile T.C. kimlik numarası,</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İşyeri veya ikametgah adresi,</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Varsa telefon numarası, faks numarası, elektronik posta adresi</w:t>
      </w:r>
    </w:p>
    <w:p w:rsidR="00EC75CA" w:rsidRPr="0027553B" w:rsidRDefault="00EC75CA" w:rsidP="00EC75CA">
      <w:pPr>
        <w:tabs>
          <w:tab w:val="left" w:pos="566"/>
        </w:tabs>
        <w:spacing w:line="240" w:lineRule="exact"/>
        <w:jc w:val="both"/>
        <w:rPr>
          <w:rFonts w:ascii="Arial" w:hAnsi="Arial" w:cs="Arial"/>
          <w:position w:val="0"/>
          <w:sz w:val="20"/>
          <w:szCs w:val="20"/>
        </w:rPr>
      </w:pPr>
      <w:r w:rsidRPr="0027553B">
        <w:rPr>
          <w:rFonts w:ascii="Arial" w:hAnsi="Arial" w:cs="Arial"/>
          <w:position w:val="0"/>
          <w:sz w:val="20"/>
          <w:szCs w:val="20"/>
        </w:rPr>
        <w:t>bilgileri alınır. Bu bilgilerden kimliğe ilişkin olanların teyidi Yönetmeliğin 6 ncı maddesine göre yapılır. Bu teyit işlemi, İçişleri Bakanlığı, Nüfus ve Vatandaşlık İşleri Genel Müdürlüğü kimlik paylaşım sistemi veri tabanı kullanılarak da (elektronik görüntüsü alınmak suretiyle) yapılabilir.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Bankalar, müşterilerin kimlik bilgilerinin teyidinde Yönetmeliğin 6 ncı maddesinde belirtilen kimlik belgeleri ile imza örneklerini işlemin yapılmasından itibaren en geç üç ay içinde alırlar. Adres teyidi de bu süre içerisinde yapılır. Bu kapsamda, maaş ödemesi yapılacak kişilerin isimleri ile birlikte çalıştığı kurumun açık adresinin bankaya bildirilmesi, işyeri adres bilgisinin teyidi için yeterli sayılır.</w:t>
      </w:r>
    </w:p>
    <w:p w:rsidR="00EC75CA" w:rsidRPr="008E55BB" w:rsidRDefault="00EC75CA" w:rsidP="00EC75CA">
      <w:pPr>
        <w:tabs>
          <w:tab w:val="left" w:pos="566"/>
        </w:tabs>
        <w:spacing w:line="240" w:lineRule="exact"/>
        <w:jc w:val="both"/>
        <w:rPr>
          <w:rFonts w:ascii="Arial" w:hAnsi="Arial" w:cs="Arial"/>
          <w:position w:val="0"/>
          <w:sz w:val="20"/>
          <w:szCs w:val="20"/>
        </w:rPr>
      </w:pPr>
    </w:p>
    <w:p w:rsidR="00EC75CA" w:rsidRDefault="00EC75CA" w:rsidP="00EC75CA">
      <w:pPr>
        <w:tabs>
          <w:tab w:val="left" w:pos="566"/>
        </w:tabs>
        <w:spacing w:line="240" w:lineRule="exact"/>
        <w:jc w:val="both"/>
        <w:rPr>
          <w:rFonts w:ascii="Arial" w:hAnsi="Arial" w:cs="Arial"/>
          <w:b/>
          <w:bCs/>
          <w:position w:val="0"/>
          <w:sz w:val="20"/>
          <w:szCs w:val="20"/>
        </w:rPr>
      </w:pPr>
      <w:r w:rsidRPr="008E55BB">
        <w:rPr>
          <w:rFonts w:ascii="Arial" w:hAnsi="Arial" w:cs="Arial"/>
          <w:b/>
          <w:position w:val="0"/>
          <w:sz w:val="20"/>
          <w:szCs w:val="20"/>
        </w:rPr>
        <w:tab/>
        <w:t xml:space="preserve">2.2.7. </w:t>
      </w:r>
      <w:r w:rsidRPr="0027553B">
        <w:rPr>
          <w:rFonts w:ascii="Arial" w:hAnsi="Arial" w:cs="Arial"/>
          <w:b/>
          <w:bCs/>
          <w:position w:val="0"/>
          <w:sz w:val="20"/>
          <w:szCs w:val="20"/>
        </w:rPr>
        <w:t>Emeklilik Sözleşmeleri, Emeklilik Planları ve Hayat Sigortası Sözleşmeleri</w:t>
      </w:r>
      <w:r>
        <w:rPr>
          <w:rFonts w:ascii="Arial" w:hAnsi="Arial" w:cs="Arial"/>
          <w:b/>
          <w:bCs/>
          <w:position w:val="0"/>
          <w:sz w:val="20"/>
          <w:szCs w:val="20"/>
        </w:rPr>
        <w:t>ne İlişkin İşlemler</w:t>
      </w:r>
    </w:p>
    <w:p w:rsidR="00EC75CA" w:rsidRPr="0027553B" w:rsidRDefault="00EC75CA" w:rsidP="00EC75CA">
      <w:pPr>
        <w:tabs>
          <w:tab w:val="left" w:pos="566"/>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 xml:space="preserve">Emeklilik sözleşmeleri </w:t>
      </w:r>
      <w:r w:rsidRPr="00EC75CA">
        <w:rPr>
          <w:rFonts w:ascii="Arial" w:hAnsi="Arial" w:cs="Arial"/>
          <w:position w:val="0"/>
          <w:sz w:val="20"/>
          <w:szCs w:val="20"/>
        </w:rPr>
        <w:t>ve çalışanlara ücretlerinden kesinti yapılmak suretiyle emeklilik hakları sağlayan emeklilik planları ile bir yıl içinde ödenecek prim tutarı toplamı </w:t>
      </w:r>
      <w:r w:rsidRPr="00EC75CA">
        <w:rPr>
          <w:rFonts w:ascii="Arial" w:hAnsi="Arial" w:cs="Arial"/>
          <w:position w:val="0"/>
          <w:sz w:val="20"/>
          <w:szCs w:val="20"/>
          <w:u w:val="single"/>
        </w:rPr>
        <w:t>beş bin</w:t>
      </w:r>
      <w:r w:rsidRPr="00EC75CA">
        <w:rPr>
          <w:rFonts w:ascii="Arial" w:hAnsi="Arial" w:cs="Arial"/>
          <w:position w:val="0"/>
          <w:sz w:val="20"/>
          <w:szCs w:val="20"/>
        </w:rPr>
        <w:t> veya tek primli olup prim tutarı </w:t>
      </w:r>
      <w:r w:rsidRPr="00EC75CA">
        <w:rPr>
          <w:rFonts w:ascii="Arial" w:hAnsi="Arial" w:cs="Arial"/>
          <w:position w:val="0"/>
          <w:sz w:val="20"/>
          <w:szCs w:val="20"/>
          <w:u w:val="single"/>
        </w:rPr>
        <w:t>on iki bin beş yüz</w:t>
      </w:r>
      <w:r w:rsidRPr="00EC75CA">
        <w:rPr>
          <w:rFonts w:ascii="Arial" w:hAnsi="Arial" w:cs="Arial"/>
          <w:position w:val="0"/>
          <w:sz w:val="20"/>
          <w:szCs w:val="20"/>
        </w:rPr>
        <w:t> TL’nin altında olan hayat sigortası sözleşmelerine ilişkin işlemlerde yükümlüler; Yönetmeliğin 6 ncı </w:t>
      </w:r>
      <w:r w:rsidRPr="00EC75CA">
        <w:rPr>
          <w:rFonts w:ascii="Arial" w:hAnsi="Arial" w:cs="Arial"/>
          <w:position w:val="0"/>
          <w:sz w:val="20"/>
          <w:szCs w:val="20"/>
          <w:u w:val="single"/>
        </w:rPr>
        <w:t>ve 7 nci maddelerinin birinci fıkralarındaki</w:t>
      </w:r>
      <w:r w:rsidRPr="00EC75CA">
        <w:rPr>
          <w:rFonts w:ascii="Arial" w:hAnsi="Arial" w:cs="Arial"/>
          <w:position w:val="0"/>
          <w:sz w:val="20"/>
          <w:szCs w:val="20"/>
        </w:rPr>
        <w:t> bilgileri, teyit belgelerine gerek olmaksızın, almak suretiyle işlem yapabilirler.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Bu kapsamdaki işlemlerle ilgili olarak Yönetmeliğin 17 nci maddesinde geçen </w:t>
      </w:r>
      <w:r w:rsidRPr="0027553B">
        <w:rPr>
          <w:rFonts w:ascii="Arial" w:hAnsi="Arial" w:cs="Arial"/>
          <w:position w:val="0"/>
          <w:sz w:val="20"/>
          <w:szCs w:val="20"/>
          <w:u w:val="single"/>
        </w:rPr>
        <w:t>başkası hesabına hareket edenlerde kimlik tespiti, 17/A maddesinde geçen gerçek faydalanıcının tanınması</w:t>
      </w:r>
      <w:r w:rsidRPr="0027553B">
        <w:rPr>
          <w:rFonts w:ascii="Arial" w:hAnsi="Arial" w:cs="Arial"/>
          <w:position w:val="0"/>
          <w:sz w:val="20"/>
          <w:szCs w:val="20"/>
        </w:rPr>
        <w:t> ile 19 uncu maddesinde geçen müşterinin durumunun ve işlemlerin izlenmesi yükümlülüklerinin uygulanması zorunluluğu bulunmamaktadır.</w:t>
      </w:r>
    </w:p>
    <w:p w:rsidR="00EC75CA" w:rsidRPr="0027553B" w:rsidRDefault="00EC75CA" w:rsidP="00EC75CA">
      <w:pPr>
        <w:tabs>
          <w:tab w:val="left" w:pos="566"/>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Emeklilik sözleşmesi ile bu madde kapsamındaki hayat sigortası sözleşmesinin mesafeli satış kapsamında düzenlenmesi halinde, imza örneği aranmamakla birlikte bu sözleşmelerin onaylanmasında hizmet riski ile Yönetmeliğin 20 nci maddesinde yer alan tedbirler göz önünde bulundurulur.</w:t>
      </w:r>
    </w:p>
    <w:p w:rsidR="00EC75CA" w:rsidRPr="00C163A2" w:rsidRDefault="00EC75CA" w:rsidP="00EC75CA">
      <w:pPr>
        <w:tabs>
          <w:tab w:val="left" w:pos="566"/>
        </w:tabs>
        <w:spacing w:line="240" w:lineRule="exact"/>
        <w:jc w:val="both"/>
        <w:rPr>
          <w:rFonts w:ascii="Arial" w:hAnsi="Arial" w:cs="Arial"/>
          <w:color w:val="FF0000"/>
          <w:position w:val="0"/>
          <w:sz w:val="20"/>
          <w:szCs w:val="20"/>
        </w:rPr>
      </w:pPr>
      <w:r>
        <w:rPr>
          <w:rFonts w:ascii="Arial" w:hAnsi="Arial" w:cs="Arial"/>
          <w:position w:val="0"/>
          <w:sz w:val="20"/>
          <w:szCs w:val="20"/>
        </w:rPr>
        <w:tab/>
      </w:r>
      <w:r w:rsidRPr="0027553B">
        <w:rPr>
          <w:rFonts w:ascii="Arial" w:hAnsi="Arial" w:cs="Arial"/>
          <w:position w:val="0"/>
          <w:sz w:val="20"/>
          <w:szCs w:val="20"/>
        </w:rPr>
        <w:t xml:space="preserve">Emeklilik şirketleri 28/3/2001 tarihli ve 4632 sayılı Bireysel Emeklilik Tasarruf ve Yatırım Sistemi Kanununun Ek 2 nci maddesi kapsamında işverenin düzenlediği emeklilik sözleşmesiyle emeklilik planına dahil edilen çalışanlara ilişkin olarak; çalışanın imza örneği hariç Yönetmeliğin 6 ncı </w:t>
      </w:r>
      <w:r w:rsidRPr="0027553B">
        <w:rPr>
          <w:rFonts w:ascii="Arial" w:hAnsi="Arial" w:cs="Arial"/>
          <w:position w:val="0"/>
          <w:sz w:val="20"/>
          <w:szCs w:val="20"/>
        </w:rPr>
        <w:lastRenderedPageBreak/>
        <w:t xml:space="preserve">maddesinin birinci fıkrasındaki bilgileri, teyit belgelerine gerek olmaksızın, almak suretiyle işlem yapabilirler. İşverenin çalışanları adına sağladığı kimlik bilgileri İçişleri Bakanlığı Nüfus ve Vatandaşlık İşleri Genel Müdürlüğü kimlik paylaşım sistemi veri tabanı üzerinden tamamlanabilir. Bu kapsamdaki </w:t>
      </w:r>
      <w:r w:rsidRPr="00EC75CA">
        <w:rPr>
          <w:rFonts w:ascii="Arial" w:hAnsi="Arial" w:cs="Arial"/>
          <w:position w:val="0"/>
          <w:sz w:val="20"/>
          <w:szCs w:val="20"/>
        </w:rPr>
        <w:t>işlemlerle ilgili olarak ikinci paragrafta yer alan hükümler uygulanabilir ve bu sözleşmelerin onaylanmasında hizmet riski ile Yönetmeliğin 20 nci maddesinde yer alan tedbirler göz önünde bulundurulur. Söz konusu tedbirler işveren grup emeklilik sözleşmelerinin yanı sıra açılan gruba bağlı bireysel emeklilik sözleşmeleri için de uygulanabilir.</w:t>
      </w:r>
    </w:p>
    <w:p w:rsidR="00EC75CA" w:rsidRPr="008E55BB" w:rsidRDefault="00EC75CA" w:rsidP="00EC75CA">
      <w:pPr>
        <w:tabs>
          <w:tab w:val="left" w:pos="566"/>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 xml:space="preserve">2.2.8. </w:t>
      </w:r>
      <w:r w:rsidRPr="0027553B">
        <w:rPr>
          <w:rFonts w:ascii="Arial" w:hAnsi="Arial" w:cs="Arial"/>
          <w:b/>
          <w:bCs/>
          <w:position w:val="0"/>
          <w:sz w:val="20"/>
          <w:szCs w:val="20"/>
        </w:rPr>
        <w:t>Müşterinin Hisseleri Borsaya Kote Edilmiş Şirket Olduğu İşlemler</w:t>
      </w:r>
    </w:p>
    <w:p w:rsidR="00EC75CA" w:rsidRPr="0027553B"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Müşterini</w:t>
      </w:r>
      <w:r w:rsidRPr="00EC75CA">
        <w:rPr>
          <w:rFonts w:ascii="Arial" w:hAnsi="Arial" w:cs="Arial"/>
          <w:position w:val="0"/>
          <w:sz w:val="20"/>
          <w:szCs w:val="20"/>
        </w:rPr>
        <w:t>n</w:t>
      </w:r>
      <w:r w:rsidRPr="00EC75CA">
        <w:rPr>
          <w:rFonts w:ascii="Arial" w:hAnsi="Arial" w:cs="Arial"/>
          <w:noProof w:val="0"/>
          <w:kern w:val="0"/>
          <w:position w:val="0"/>
          <w:sz w:val="18"/>
          <w:szCs w:val="18"/>
          <w:lang w:eastAsia="tr-TR"/>
        </w:rPr>
        <w:t xml:space="preserve"> </w:t>
      </w:r>
      <w:r w:rsidRPr="00EC75CA">
        <w:rPr>
          <w:rFonts w:ascii="Arial" w:hAnsi="Arial" w:cs="Arial"/>
          <w:position w:val="0"/>
          <w:sz w:val="20"/>
          <w:szCs w:val="20"/>
        </w:rPr>
        <w:t xml:space="preserve">veya yüzde elliyi aşan çoğunluk hissesine sahip ortağının, hisseleri Borsa İstanbul Anonim Şirketine </w:t>
      </w:r>
      <w:r w:rsidRPr="0027553B">
        <w:rPr>
          <w:rFonts w:ascii="Arial" w:hAnsi="Arial" w:cs="Arial"/>
          <w:position w:val="0"/>
          <w:sz w:val="20"/>
          <w:szCs w:val="20"/>
        </w:rPr>
        <w:t>kote edilmiş şirket olduğu işlemlerde, şirkete ilişkin olarak Yönetmeliğin 7 nci maddesinin birinci fıkrasındaki bilgiler alınarak kaydedilir. Bu bilgilerin, Yönetmeliğin anılan maddesi uyarınca teyidi zorunlu değildir.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position w:val="0"/>
          <w:sz w:val="20"/>
          <w:szCs w:val="20"/>
        </w:rPr>
        <w:t>Bu kapsamdaki müşterilerle ilgili olarak Yönetmeliğin 17 nci maddesindeki yükümlülükler ile 17/A maddesindeki teyide ilişkin yükümlülükler uygulanmayabilir. Ayrıca Yönetmeliğin 19 uncu maddesi uyarınca müşterinin durumunun sürekli iş ilişkisi kapsamında izlenmesi ve müşteri hakkındaki bilgi, belge ve kayıtların güncellenmesi sıklığı azaltılabilir.</w:t>
      </w:r>
    </w:p>
    <w:p w:rsidR="00EC75CA" w:rsidRPr="0027553B" w:rsidRDefault="00EC75CA" w:rsidP="00EC75CA">
      <w:pPr>
        <w:tabs>
          <w:tab w:val="left" w:pos="567"/>
        </w:tabs>
        <w:spacing w:line="240" w:lineRule="exact"/>
        <w:jc w:val="both"/>
        <w:rPr>
          <w:rFonts w:ascii="Arial" w:hAnsi="Arial" w:cs="Arial"/>
          <w:position w:val="0"/>
          <w:sz w:val="20"/>
          <w:szCs w:val="20"/>
        </w:rPr>
      </w:pPr>
      <w:r w:rsidRPr="0027553B">
        <w:rPr>
          <w:rFonts w:ascii="Arial" w:hAnsi="Arial" w:cs="Arial"/>
          <w:position w:val="0"/>
          <w:sz w:val="20"/>
          <w:szCs w:val="20"/>
        </w:rPr>
        <w:t>Ancak tüzel kişiyi temsile yetkili kimselerin kimliği ve yetki durumu, Yönetmeliğin 7 nci ve 14 üncü maddesinde belirtilen esaslara uygun olarak tespit edilir.</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 xml:space="preserve">2.2.9. Ön Ödemeli Kartlara İlişkin İşlemler </w:t>
      </w:r>
    </w:p>
    <w:p w:rsidR="00EC75CA" w:rsidRPr="00EC75CA"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xml:space="preserve">Üzerindeki numara bazında hesap takibi yapılan, isimsiz, önceden ödeme ya da yükleme yapılması suretiyle kullanılabilir hale gelen ve yüklenen bakiye kadar kullanıma izin verilen ön ödemeli kartlarla ilgili işlemlerde </w:t>
      </w:r>
      <w:r w:rsidRPr="00EC75CA">
        <w:rPr>
          <w:rFonts w:ascii="Arial" w:hAnsi="Arial" w:cs="Arial"/>
          <w:position w:val="0"/>
          <w:sz w:val="20"/>
          <w:szCs w:val="20"/>
        </w:rPr>
        <w:t>yükümlüler;</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Aynı yıl içinde nakit çekim tutarı beş yüz TL’yi,</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-Tek kullanımlık olup tekrar yükleme yapılması mümkün olmayanlarda yüklü para tutarı </w:t>
      </w:r>
      <w:r w:rsidRPr="00EC75CA">
        <w:rPr>
          <w:rFonts w:ascii="Arial" w:hAnsi="Arial" w:cs="Arial"/>
          <w:position w:val="0"/>
          <w:sz w:val="20"/>
          <w:szCs w:val="20"/>
          <w:u w:val="single"/>
        </w:rPr>
        <w:t>bin iki yüz elli </w:t>
      </w:r>
      <w:r w:rsidRPr="00EC75CA">
        <w:rPr>
          <w:rFonts w:ascii="Arial" w:hAnsi="Arial" w:cs="Arial"/>
          <w:position w:val="0"/>
          <w:sz w:val="20"/>
          <w:szCs w:val="20"/>
        </w:rPr>
        <w:t>TL’yi,</w:t>
      </w:r>
    </w:p>
    <w:p w:rsidR="00EC75CA" w:rsidRPr="0027553B"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xml:space="preserve">- Yeniden yükleme yapılabilen ve toplam yükleme limiti bir ay içinde yediyüzelli TL’yi ve her </w:t>
      </w:r>
      <w:r w:rsidRPr="0027553B">
        <w:rPr>
          <w:rFonts w:ascii="Arial" w:hAnsi="Arial" w:cs="Arial"/>
          <w:position w:val="0"/>
          <w:sz w:val="20"/>
          <w:szCs w:val="20"/>
        </w:rPr>
        <w:t>halükarda bakiyesi yediyüzelli TL’yi</w:t>
      </w:r>
    </w:p>
    <w:p w:rsidR="00EC75CA" w:rsidRPr="00C163A2" w:rsidRDefault="00EC75CA" w:rsidP="00EC75CA">
      <w:pPr>
        <w:tabs>
          <w:tab w:val="left" w:pos="567"/>
        </w:tabs>
        <w:spacing w:line="240" w:lineRule="exact"/>
        <w:jc w:val="both"/>
        <w:rPr>
          <w:rFonts w:ascii="Arial" w:hAnsi="Arial" w:cs="Arial"/>
          <w:color w:val="808080" w:themeColor="background1" w:themeShade="80"/>
          <w:position w:val="0"/>
          <w:sz w:val="20"/>
          <w:szCs w:val="20"/>
        </w:rPr>
      </w:pPr>
      <w:r w:rsidRPr="00EC75CA">
        <w:rPr>
          <w:rFonts w:ascii="Arial" w:hAnsi="Arial" w:cs="Arial"/>
          <w:position w:val="0"/>
          <w:sz w:val="20"/>
          <w:szCs w:val="20"/>
        </w:rPr>
        <w:t>aşmayan, fon transferi amacıyla kullanılamayan ve sadece nakit çekimi ya da mal ve hizmet alımında kullanım amaçlı ön ödemeli kartların satışında Yönetmeliğin 6 ncı maddesi kapsamında kimlik tespiti yapmayabilirler.</w:t>
      </w:r>
    </w:p>
    <w:p w:rsidR="00EC75CA" w:rsidRDefault="00EC75CA" w:rsidP="00EC75CA">
      <w:pPr>
        <w:tabs>
          <w:tab w:val="left" w:pos="567"/>
        </w:tabs>
        <w:spacing w:line="240" w:lineRule="exact"/>
        <w:jc w:val="both"/>
        <w:rPr>
          <w:rFonts w:ascii="Arial" w:hAnsi="Arial" w:cs="Arial"/>
          <w:position w:val="0"/>
          <w:sz w:val="20"/>
          <w:szCs w:val="20"/>
        </w:rPr>
      </w:pPr>
      <w:r>
        <w:rPr>
          <w:rFonts w:ascii="Arial" w:hAnsi="Arial" w:cs="Arial"/>
          <w:b/>
          <w:bCs/>
          <w:position w:val="0"/>
          <w:sz w:val="20"/>
          <w:szCs w:val="20"/>
        </w:rPr>
        <w:tab/>
      </w:r>
      <w:r w:rsidRPr="0027553B">
        <w:rPr>
          <w:rFonts w:ascii="Arial" w:hAnsi="Arial" w:cs="Arial"/>
          <w:position w:val="0"/>
          <w:sz w:val="20"/>
          <w:szCs w:val="20"/>
        </w:rPr>
        <w:t>Bu kapsamdaki müşterilerle ilgili olarak Yönetmeliğin 17 nci maddesindeki yükümlülükler ile 17/A maddesindeki teyide ilişkin yükümlülükler uygulanmayabilir. Ayrıca Yönetmeliğin 19 uncu maddesi uyarınca müşterinin durumunun sürekli iş ilişkisi kapsamında izlenmesi ve müşteri hakkındaki bilgi, belge ve kayıtların güncellenmesi sıklığı azaltılabilir.</w:t>
      </w:r>
    </w:p>
    <w:p w:rsidR="00EC75CA" w:rsidRPr="0027553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 xml:space="preserve">          </w:t>
      </w:r>
      <w:r w:rsidRPr="00561E72">
        <w:rPr>
          <w:rFonts w:ascii="Arial" w:hAnsi="Arial" w:cs="Arial"/>
          <w:b/>
          <w:position w:val="0"/>
          <w:sz w:val="20"/>
          <w:szCs w:val="20"/>
        </w:rPr>
        <w:t>2.2.10.</w:t>
      </w:r>
      <w:r w:rsidRPr="008E55BB">
        <w:rPr>
          <w:rFonts w:ascii="Arial" w:hAnsi="Arial" w:cs="Arial"/>
          <w:position w:val="0"/>
          <w:sz w:val="20"/>
          <w:szCs w:val="20"/>
        </w:rPr>
        <w:t xml:space="preserve"> </w:t>
      </w:r>
      <w:r w:rsidRPr="008E55BB">
        <w:rPr>
          <w:rFonts w:ascii="Arial" w:hAnsi="Arial" w:cs="Arial"/>
          <w:b/>
          <w:position w:val="0"/>
          <w:sz w:val="20"/>
          <w:szCs w:val="20"/>
        </w:rPr>
        <w:t>Faaliyetlerini Münhasıran Elektronik Ortamda Gerçekleştiren Yükümlüler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Ticari faaliyetlerinin tamamını fiziki bir işyeri bulunmaksızın ve müşteri ile yüz yüze olmaksızın münhasıran elektronik ortamda gerçekleştiren yükümlülerce;</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Türkiye’de mukim bankayla, sunulan mal veya hizmete ilişkin tahsilat ve ödeme işlemlerinin elektronik ortam üzerinden gerçekleştirileceğine dair sözleşme yapılmış olması,</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Müşterinin elektronik ortamda alınan üyelik başvurusunda, kimliğe ilişkin bilgile</w:t>
      </w:r>
      <w:r>
        <w:rPr>
          <w:rFonts w:ascii="Arial" w:hAnsi="Arial" w:cs="Arial"/>
          <w:position w:val="0"/>
          <w:sz w:val="20"/>
          <w:szCs w:val="20"/>
        </w:rPr>
        <w:t>rin (Adı, soyadı, doğum</w:t>
      </w:r>
      <w:r w:rsidRPr="0027553B">
        <w:rPr>
          <w:rFonts w:ascii="Arial" w:hAnsi="Arial" w:cs="Arial"/>
          <w:position w:val="0"/>
          <w:sz w:val="20"/>
          <w:szCs w:val="20"/>
        </w:rPr>
        <w:t xml:space="preserve"> (…) tarihi, uyruğu, Türk vatandaşları için T.C. kimlik numarası, yabancı uyruklular için yabancı kimlik numarası) İçişleri Bakanlığı Nüfus ve Vatandaşlık İşleri Genel Müdürlüğü  (…) veri tabanı kullanılarak sorgulanması yoluyla teyit edilmesi,</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xml:space="preserve">- Tüm tahsilat </w:t>
      </w:r>
      <w:r w:rsidRPr="00EC75CA">
        <w:rPr>
          <w:rFonts w:ascii="Arial" w:hAnsi="Arial" w:cs="Arial"/>
          <w:position w:val="0"/>
          <w:sz w:val="20"/>
          <w:szCs w:val="20"/>
        </w:rPr>
        <w:t xml:space="preserve">ve ödemelerin, kimlik bilgileri teyit edilerek üyeliği kabul edilmiş kişinin kimlik bilgileri ile uyumlu bir banka hesabı veya kredi kartı hesabı vasıtasıyla </w:t>
      </w:r>
      <w:r w:rsidRPr="0027553B">
        <w:rPr>
          <w:rFonts w:ascii="Arial" w:hAnsi="Arial" w:cs="Arial"/>
          <w:position w:val="0"/>
          <w:sz w:val="20"/>
          <w:szCs w:val="20"/>
        </w:rPr>
        <w:t>yapılması</w:t>
      </w:r>
    </w:p>
    <w:p w:rsidR="00EC75CA" w:rsidRPr="0027553B" w:rsidRDefault="00EC75CA" w:rsidP="00EC75CA">
      <w:pPr>
        <w:tabs>
          <w:tab w:val="left" w:pos="567"/>
        </w:tabs>
        <w:spacing w:line="240" w:lineRule="exact"/>
        <w:jc w:val="both"/>
        <w:rPr>
          <w:rFonts w:ascii="Arial" w:hAnsi="Arial" w:cs="Arial"/>
          <w:position w:val="0"/>
          <w:sz w:val="20"/>
          <w:szCs w:val="20"/>
        </w:rPr>
      </w:pPr>
      <w:r w:rsidRPr="0027553B">
        <w:rPr>
          <w:rFonts w:ascii="Arial" w:hAnsi="Arial" w:cs="Arial"/>
          <w:position w:val="0"/>
          <w:sz w:val="20"/>
          <w:szCs w:val="20"/>
        </w:rPr>
        <w:t>koşuluyla, müşterinin kimlik bilgilerinin Yönetmeliğin 6 ncı maddesindeki usul çerçevesinde teyidi ile imza örneği alınması zorunlu değildir.</w:t>
      </w:r>
    </w:p>
    <w:p w:rsidR="00EC75CA" w:rsidRDefault="00EC75CA" w:rsidP="00EC75CA">
      <w:pPr>
        <w:tabs>
          <w:tab w:val="left" w:pos="567"/>
        </w:tabs>
        <w:spacing w:line="240" w:lineRule="exact"/>
        <w:jc w:val="both"/>
        <w:rPr>
          <w:rFonts w:ascii="Arial" w:hAnsi="Arial" w:cs="Arial"/>
          <w:position w:val="0"/>
          <w:sz w:val="20"/>
          <w:szCs w:val="20"/>
        </w:rPr>
      </w:pPr>
      <w:r w:rsidRPr="0027553B">
        <w:rPr>
          <w:rFonts w:ascii="Arial" w:hAnsi="Arial" w:cs="Arial"/>
          <w:position w:val="0"/>
          <w:sz w:val="20"/>
          <w:szCs w:val="20"/>
        </w:rPr>
        <w:t>Şans ve bahis oyunları düzenleme hak ve yetkisini haiz kurum ve kuruluşlar tarafından bayilik verilmeksizin, bu faaliyetlerin sanal ortamda bizzat kendilerince gerçekleştirilmesi halinde de bu tedbirler uygulanır.</w:t>
      </w:r>
    </w:p>
    <w:p w:rsidR="00EC75CA" w:rsidRPr="0027553B" w:rsidRDefault="00EC75CA" w:rsidP="00EC75CA">
      <w:pPr>
        <w:tabs>
          <w:tab w:val="left" w:pos="567"/>
        </w:tabs>
        <w:spacing w:line="240" w:lineRule="exact"/>
        <w:jc w:val="both"/>
        <w:rPr>
          <w:rFonts w:ascii="Arial" w:hAnsi="Arial" w:cs="Arial"/>
          <w:position w:val="0"/>
          <w:sz w:val="20"/>
          <w:szCs w:val="20"/>
        </w:rPr>
      </w:pPr>
    </w:p>
    <w:p w:rsidR="00EC75CA" w:rsidRPr="00B34A0B" w:rsidRDefault="00EC75CA" w:rsidP="00EC75CA">
      <w:pPr>
        <w:tabs>
          <w:tab w:val="left" w:pos="567"/>
        </w:tabs>
        <w:spacing w:line="240" w:lineRule="exact"/>
        <w:jc w:val="both"/>
        <w:rPr>
          <w:rFonts w:ascii="Arial" w:hAnsi="Arial" w:cs="Arial"/>
          <w:b/>
          <w:position w:val="0"/>
          <w:sz w:val="20"/>
          <w:szCs w:val="20"/>
        </w:rPr>
      </w:pPr>
      <w:r w:rsidRPr="00B34A0B">
        <w:rPr>
          <w:rFonts w:ascii="Arial" w:hAnsi="Arial" w:cs="Arial"/>
          <w:b/>
          <w:position w:val="0"/>
          <w:sz w:val="20"/>
          <w:szCs w:val="20"/>
        </w:rPr>
        <w:tab/>
        <w:t>2.2.11. Elektronik Para ve Ödeme Kuruluşlarına İlişkin İşlemler</w:t>
      </w:r>
    </w:p>
    <w:p w:rsidR="00EC75CA" w:rsidRPr="0027553B" w:rsidRDefault="00EC75CA" w:rsidP="00EC75CA">
      <w:pPr>
        <w:tabs>
          <w:tab w:val="left" w:pos="567"/>
        </w:tabs>
        <w:spacing w:line="240" w:lineRule="exact"/>
        <w:jc w:val="both"/>
        <w:rPr>
          <w:rFonts w:ascii="Arial" w:hAnsi="Arial" w:cs="Arial"/>
          <w:position w:val="0"/>
          <w:sz w:val="20"/>
          <w:szCs w:val="20"/>
        </w:rPr>
      </w:pPr>
      <w:r w:rsidRPr="00B34A0B">
        <w:rPr>
          <w:rFonts w:ascii="Arial" w:hAnsi="Arial" w:cs="Arial"/>
          <w:position w:val="0"/>
          <w:sz w:val="20"/>
          <w:szCs w:val="20"/>
        </w:rPr>
        <w:tab/>
      </w:r>
      <w:r w:rsidRPr="0027553B">
        <w:rPr>
          <w:rFonts w:ascii="Arial" w:hAnsi="Arial" w:cs="Arial"/>
          <w:position w:val="0"/>
          <w:sz w:val="20"/>
          <w:szCs w:val="20"/>
        </w:rPr>
        <w:t>Yükümlüler, 20/6/2013 tarihli ve 6493 sayılı Ödeme ve Menkul Kıymet Mutabakat Sistemleri, Ödeme Hizmetleri ve Elektronik Para Kuruluşları Hakkında Kanunun;</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a) 20 nci maddesi kapsamında elektronik paranın teminine yönelik işlemlerde,</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lastRenderedPageBreak/>
        <w:tab/>
      </w:r>
      <w:r w:rsidRPr="0027553B">
        <w:rPr>
          <w:rFonts w:ascii="Arial" w:hAnsi="Arial" w:cs="Arial"/>
          <w:position w:val="0"/>
          <w:sz w:val="20"/>
          <w:szCs w:val="20"/>
        </w:rPr>
        <w:t>-  Aynı yıl içinde nakit çekim tutarı üçyüz TL’yi,</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Yeniden yükleme imkanı bulunmaması halinde, elektronik olarak saklanan fon tutarı yediyüzelli TL’yi,</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Yeniden yükleme yapılabilen ve toplam yükleme tutarı bir ay içinde yediyüzelli TL’yi ve her halükarda bakiyesi yediyüzelli TL’yi,</w:t>
      </w:r>
    </w:p>
    <w:p w:rsidR="00EC75CA" w:rsidRPr="00EC75CA"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xml:space="preserve">b) 12 nci </w:t>
      </w:r>
      <w:r w:rsidRPr="00EC75CA">
        <w:rPr>
          <w:rFonts w:ascii="Arial" w:hAnsi="Arial" w:cs="Arial"/>
          <w:position w:val="0"/>
          <w:sz w:val="20"/>
          <w:szCs w:val="20"/>
        </w:rPr>
        <w:t>maddesinin birinci fıkrasının (d) bendi kapsamında elektronik haberleşme hizmetleri aracılığıyla sunulan ödeme hizmetine (mobil ödeme hizmeti) ilişkin işlemlerde ise,</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Bir seferlik işlem tutarı beş yüz TL’yi,</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xml:space="preserve">-  Aylık işlem tutarı </w:t>
      </w:r>
      <w:r w:rsidRPr="00EC75CA">
        <w:rPr>
          <w:rFonts w:ascii="Arial" w:hAnsi="Arial" w:cs="Arial"/>
          <w:position w:val="0"/>
          <w:sz w:val="20"/>
          <w:szCs w:val="20"/>
          <w:u w:val="single"/>
        </w:rPr>
        <w:t>bin iki yüz elli </w:t>
      </w:r>
      <w:r w:rsidRPr="00EC75CA">
        <w:rPr>
          <w:rFonts w:ascii="Arial" w:hAnsi="Arial" w:cs="Arial"/>
          <w:position w:val="0"/>
          <w:sz w:val="20"/>
          <w:szCs w:val="20"/>
        </w:rPr>
        <w:t>TL’yi,</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aşmayan, fon transferi amacıyla kullanılamayan ve sadece nakit çekimi ya da mal ve hizmet alımında kullanım amaçlı elektronik para ihracında ve ödeme hizmetlerinde kimlik tespiti yapmayabilirler.</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Belirtilen tutarların üzerinde elektronik para ihracını müşteri ile yüz yüze olmaksızın münhasıran elektronik ortamda elektronik bir hesap üyeliği vasıtasıyla gerçekleştiren yükümlülerce;</w:t>
      </w:r>
    </w:p>
    <w:p w:rsidR="00EC75CA" w:rsidRPr="00EC75CA"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Gerçek kişi müşterinin elektronik ortamda alınan başvurusunda, kimliğe ilişkin bilgilerin (Adı, soyadı, doğum tarihi, uyruğu, Türk vatandaşları için T.C. kimlik numarası, yabancı uyruklular için yabancı kimlik numarası) İçişleri Bakanlığı Nüfus ve Vatandaşlık İşleri Genel Müdürlüğü kimlik paylaşım sistemi veri tabanı kullanılarak sorgulanması yoluyla teyit edilmesi,</w:t>
      </w:r>
    </w:p>
    <w:p w:rsidR="00EC75CA" w:rsidRPr="0027553B" w:rsidRDefault="00EC75CA" w:rsidP="00EC75CA">
      <w:pPr>
        <w:tabs>
          <w:tab w:val="left" w:pos="567"/>
        </w:tabs>
        <w:spacing w:line="240" w:lineRule="exact"/>
        <w:jc w:val="both"/>
        <w:rPr>
          <w:rFonts w:ascii="Arial" w:hAnsi="Arial" w:cs="Arial"/>
          <w:position w:val="0"/>
          <w:sz w:val="20"/>
          <w:szCs w:val="20"/>
        </w:rPr>
      </w:pPr>
      <w:r w:rsidRPr="00EC75CA">
        <w:rPr>
          <w:rFonts w:ascii="Arial" w:hAnsi="Arial" w:cs="Arial"/>
          <w:position w:val="0"/>
          <w:sz w:val="20"/>
          <w:szCs w:val="20"/>
        </w:rPr>
        <w:tab/>
        <w:t xml:space="preserve">- Ticaret siciline kayıtlı tüzel kişi müşterinin elektronik ortamda alınan başvurusunda, tüzel kişiyi temsile yetkili kişinin kimliğe ilişkin bilgilerinin gerçek kişilerdeki </w:t>
      </w:r>
      <w:r w:rsidRPr="0027553B">
        <w:rPr>
          <w:rFonts w:ascii="Arial" w:hAnsi="Arial" w:cs="Arial"/>
          <w:position w:val="0"/>
          <w:sz w:val="20"/>
          <w:szCs w:val="20"/>
        </w:rPr>
        <w:t>usule göre teyit edilmesi, tüzel kişiye ilişkin bilgilerin ise (tüzel kişinin unvanı, ticaret sicil numarası, vergi kimlik numarası, faaliyet konusu, açık adresi) Türkiye Odalar ve Borsalar Birliği, Gelir İdaresi Başkanlığı veya bu bilgilere ilişkin merkezi kayıt tutan diğer kurumların veri tabanları üzerinden tescil belgeleri ve kayıtların sorgulanması suretiyle teyit edilmesi,</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 Tüm tahsilat ve ödemelerin, kimlik bilgileri teyit edilerek üyeliği kabul edilmiş kişinin kimlik bilgileri ile uyumlu bir banka hesabı veya kredi kartı hesabı vasıtasıyla yapılması,</w:t>
      </w:r>
    </w:p>
    <w:p w:rsidR="00EC75CA" w:rsidRPr="0027553B" w:rsidRDefault="00EC75CA" w:rsidP="00EC75CA">
      <w:pPr>
        <w:tabs>
          <w:tab w:val="left" w:pos="567"/>
        </w:tabs>
        <w:spacing w:line="240" w:lineRule="exact"/>
        <w:jc w:val="both"/>
        <w:rPr>
          <w:rFonts w:ascii="Arial" w:hAnsi="Arial" w:cs="Arial"/>
          <w:position w:val="0"/>
          <w:sz w:val="20"/>
          <w:szCs w:val="20"/>
        </w:rPr>
      </w:pPr>
      <w:r w:rsidRPr="0027553B">
        <w:rPr>
          <w:rFonts w:ascii="Arial" w:hAnsi="Arial" w:cs="Arial"/>
          <w:position w:val="0"/>
          <w:sz w:val="20"/>
          <w:szCs w:val="20"/>
        </w:rPr>
        <w:t>koşuluyla müşterinin kimlik bilgilerinin Yönetmeliğin 6 ve 7 nci maddesindeki usul çerçevesinde teyidi ile imza örneği alınması zorunlu değildir.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6493 sayılı Kanunun 12 nci maddesinin birinci fıkrasının (a) ve (b) bentleri kapsamında, ödeme kuruluşu tarafından temin edilen terminal aracılığıyla gerçekleştirilen ödeme hizmetinde (sanal terminal hizmeti), ödeme kuruluşunun müşterileri bakımından ikinci paragrafta yer alan tedbirler tutar gözetilmeksizin uygulanabilir.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Bu maddedeki işlemlerle ilgili olarak Yönetmeliğin 17 nci maddesindeki yükümlülükler ile 17/A maddesindeki teyide ilişkin yükümlülükler uygulanmayabilir. Ayrıca birinci paragraf kapsamındaki işlemlerle ilgili olarak Yönetmeliğin 19 uncu maddesi uyarınca müşterinin durumunun sürekli iş ilişkisi kapsamında izlenmesi ve müşteri hakkındaki bilgi, belge ve kayıtların güncellenmesi sıklığı azaltılabilir.</w:t>
      </w:r>
    </w:p>
    <w:p w:rsidR="00EC75CA" w:rsidRDefault="00EC75CA" w:rsidP="00EC75CA">
      <w:pPr>
        <w:tabs>
          <w:tab w:val="left" w:pos="567"/>
        </w:tabs>
        <w:spacing w:line="240" w:lineRule="exact"/>
        <w:jc w:val="both"/>
        <w:rPr>
          <w:rFonts w:ascii="Arial" w:hAnsi="Arial" w:cs="Arial"/>
          <w:position w:val="0"/>
          <w:sz w:val="20"/>
          <w:szCs w:val="20"/>
        </w:rPr>
      </w:pPr>
    </w:p>
    <w:p w:rsidR="00EC75CA" w:rsidRDefault="00EC75CA" w:rsidP="00EC75CA">
      <w:pPr>
        <w:tabs>
          <w:tab w:val="left" w:pos="567"/>
        </w:tabs>
        <w:spacing w:line="240" w:lineRule="exact"/>
        <w:jc w:val="both"/>
        <w:rPr>
          <w:rFonts w:ascii="Arial" w:hAnsi="Arial" w:cs="Arial"/>
          <w:b/>
          <w:position w:val="0"/>
          <w:sz w:val="20"/>
          <w:szCs w:val="20"/>
        </w:rPr>
      </w:pPr>
      <w:r w:rsidRPr="00B34A0B">
        <w:rPr>
          <w:rFonts w:ascii="Arial" w:hAnsi="Arial" w:cs="Arial"/>
          <w:b/>
          <w:position w:val="0"/>
          <w:sz w:val="20"/>
          <w:szCs w:val="20"/>
        </w:rPr>
        <w:t>3. Diğer Hususlar</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b/>
          <w:position w:val="0"/>
          <w:sz w:val="20"/>
          <w:szCs w:val="20"/>
        </w:rPr>
        <w:tab/>
      </w:r>
      <w:r w:rsidRPr="0027553B">
        <w:rPr>
          <w:rFonts w:ascii="Arial" w:hAnsi="Arial" w:cs="Arial"/>
          <w:position w:val="0"/>
          <w:sz w:val="20"/>
          <w:szCs w:val="20"/>
        </w:rPr>
        <w:t>Yönetmelik kapsamındaki bazı teyit ve tespit işlemlerinin aşağıdaki şekilde yapılması uygun bulunmuştur.</w:t>
      </w:r>
    </w:p>
    <w:p w:rsidR="00EC75CA" w:rsidRPr="0027553B" w:rsidRDefault="00EC75CA" w:rsidP="00EC75CA">
      <w:pPr>
        <w:tabs>
          <w:tab w:val="left" w:pos="567"/>
        </w:tabs>
        <w:spacing w:line="240" w:lineRule="exact"/>
        <w:jc w:val="both"/>
        <w:rPr>
          <w:rFonts w:ascii="Arial" w:hAnsi="Arial" w:cs="Arial"/>
          <w:position w:val="0"/>
          <w:sz w:val="20"/>
          <w:szCs w:val="20"/>
        </w:rPr>
      </w:pPr>
      <w:r w:rsidRPr="0027553B">
        <w:rPr>
          <w:rFonts w:ascii="Arial" w:hAnsi="Arial" w:cs="Arial"/>
          <w:b/>
          <w:bCs/>
          <w:position w:val="0"/>
          <w:sz w:val="20"/>
          <w:szCs w:val="20"/>
        </w:rPr>
        <w:t> </w:t>
      </w: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 xml:space="preserve">3.1. Adres Teyidi </w:t>
      </w:r>
    </w:p>
    <w:p w:rsidR="00EC75CA" w:rsidRPr="0027553B"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Sürekli iş ilişkisi tesisinde, Yönetmeliğin 6 ncı maddesinde belirtilen gerçek kişilerle ilgili kimlik tespiti kapsamında beyan edilen adresin doğruluğu, e-Devlet veri tabanlarından yararlanmak suretiyle (elektronik görüntüsü de alınarak) teyit edilebilir. </w:t>
      </w:r>
    </w:p>
    <w:p w:rsidR="00EC75CA" w:rsidRPr="0027553B"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Müşteri adresine alma haberli posta yoluyla tebligat yapılması durumunda, tebligatın müşteriye yapıldığına dair belge de adres teyidinde kullanılabilir. </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3.2. Telefon ve Faks Numarası ile Elektronik Posta Adresinin Doğruluğunun Teyidi</w:t>
      </w:r>
    </w:p>
    <w:p w:rsidR="00EC75CA"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 xml:space="preserve">Sürekli iş ilişkisi tesis edilen müşterilerin kimlik tespitine ilişkin alınan telefon ve faks numarası ile elektronik posta adresine ilişkin bilgilerinin doğruluğu, risk temelli yaklaşım çerçevesinde gerektiğinde bu araçları kullanarak ilgiliyle irtibat </w:t>
      </w:r>
      <w:r>
        <w:rPr>
          <w:rFonts w:ascii="Arial" w:hAnsi="Arial" w:cs="Arial"/>
          <w:position w:val="0"/>
          <w:sz w:val="20"/>
          <w:szCs w:val="20"/>
        </w:rPr>
        <w:t>kurulmak suretiyle teyit edilir.</w:t>
      </w:r>
    </w:p>
    <w:p w:rsidR="00EC75CA" w:rsidRPr="008E55BB" w:rsidRDefault="00EC75CA" w:rsidP="00EC75CA">
      <w:pPr>
        <w:tabs>
          <w:tab w:val="left" w:pos="567"/>
        </w:tabs>
        <w:spacing w:line="240" w:lineRule="exact"/>
        <w:jc w:val="both"/>
        <w:rPr>
          <w:rFonts w:ascii="Arial" w:hAnsi="Arial" w:cs="Arial"/>
          <w:position w:val="0"/>
          <w:sz w:val="20"/>
          <w:szCs w:val="20"/>
        </w:rPr>
      </w:pPr>
    </w:p>
    <w:p w:rsidR="00EC75CA" w:rsidRPr="008E55BB" w:rsidRDefault="00EC75CA" w:rsidP="00EC75CA">
      <w:pPr>
        <w:tabs>
          <w:tab w:val="left" w:pos="567"/>
        </w:tabs>
        <w:spacing w:line="240" w:lineRule="exact"/>
        <w:jc w:val="both"/>
        <w:rPr>
          <w:rFonts w:ascii="Arial" w:hAnsi="Arial" w:cs="Arial"/>
          <w:b/>
          <w:position w:val="0"/>
          <w:sz w:val="20"/>
          <w:szCs w:val="20"/>
        </w:rPr>
      </w:pPr>
      <w:r w:rsidRPr="008E55BB">
        <w:rPr>
          <w:rFonts w:ascii="Arial" w:hAnsi="Arial" w:cs="Arial"/>
          <w:position w:val="0"/>
          <w:sz w:val="20"/>
          <w:szCs w:val="20"/>
        </w:rPr>
        <w:tab/>
      </w:r>
      <w:r w:rsidRPr="008E55BB">
        <w:rPr>
          <w:rFonts w:ascii="Arial" w:hAnsi="Arial" w:cs="Arial"/>
          <w:b/>
          <w:position w:val="0"/>
          <w:sz w:val="20"/>
          <w:szCs w:val="20"/>
        </w:rPr>
        <w:t>3.3. Müteakip İşlemlerde Kimlik Tespiti</w:t>
      </w:r>
    </w:p>
    <w:p w:rsidR="00EC75CA" w:rsidRPr="0027553B" w:rsidRDefault="00EC75CA" w:rsidP="00EC75CA">
      <w:pPr>
        <w:tabs>
          <w:tab w:val="left" w:pos="567"/>
        </w:tabs>
        <w:spacing w:line="240" w:lineRule="exact"/>
        <w:jc w:val="both"/>
        <w:rPr>
          <w:rFonts w:ascii="Arial" w:hAnsi="Arial" w:cs="Arial"/>
          <w:position w:val="0"/>
          <w:sz w:val="20"/>
          <w:szCs w:val="20"/>
        </w:rPr>
      </w:pPr>
      <w:r w:rsidRPr="008E55BB">
        <w:rPr>
          <w:rFonts w:ascii="Arial" w:hAnsi="Arial" w:cs="Arial"/>
          <w:position w:val="0"/>
          <w:sz w:val="20"/>
          <w:szCs w:val="20"/>
        </w:rPr>
        <w:tab/>
      </w:r>
      <w:r w:rsidRPr="0027553B">
        <w:rPr>
          <w:rFonts w:ascii="Arial" w:hAnsi="Arial" w:cs="Arial"/>
          <w:position w:val="0"/>
          <w:sz w:val="20"/>
          <w:szCs w:val="20"/>
        </w:rPr>
        <w:t>Daha önce usulüne uygun olarak kimliği tespit edilenlerin sürekli iş ilişkisi kapsamındaki yüz yüze yapılan müteakip işlemlerinde kimlik tespiti, kimliğe ilişkin bilgilerin yükümlüde bulunan bilgilerle karşılaştırılmasını müteakip, ilgili evraka işlemi yaptıran gerçek kişinin ad ve soyadının yazılması ve imza örneğinin alınması suretiyle yapılır.</w:t>
      </w:r>
    </w:p>
    <w:p w:rsidR="00EF051C" w:rsidRPr="00EC75CA" w:rsidRDefault="00EC75CA" w:rsidP="00EC75CA">
      <w:pPr>
        <w:tabs>
          <w:tab w:val="left" w:pos="567"/>
        </w:tabs>
        <w:spacing w:line="240" w:lineRule="exact"/>
        <w:jc w:val="both"/>
        <w:rPr>
          <w:rFonts w:ascii="Arial" w:hAnsi="Arial" w:cs="Arial"/>
          <w:position w:val="0"/>
          <w:sz w:val="20"/>
          <w:szCs w:val="20"/>
        </w:rPr>
      </w:pPr>
      <w:r>
        <w:rPr>
          <w:rFonts w:ascii="Arial" w:hAnsi="Arial" w:cs="Arial"/>
          <w:position w:val="0"/>
          <w:sz w:val="20"/>
          <w:szCs w:val="20"/>
        </w:rPr>
        <w:tab/>
      </w:r>
      <w:r w:rsidRPr="0027553B">
        <w:rPr>
          <w:rFonts w:ascii="Arial" w:hAnsi="Arial" w:cs="Arial"/>
          <w:position w:val="0"/>
          <w:sz w:val="20"/>
          <w:szCs w:val="20"/>
        </w:rPr>
        <w:t>Tebliğ olunur.</w:t>
      </w:r>
      <w:bookmarkStart w:id="1" w:name="_GoBack"/>
      <w:bookmarkEnd w:id="1"/>
    </w:p>
    <w:sectPr w:rsidR="00EF051C" w:rsidRPr="00EC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D48"/>
    <w:multiLevelType w:val="hybridMultilevel"/>
    <w:tmpl w:val="09F2FA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68749D"/>
    <w:multiLevelType w:val="hybridMultilevel"/>
    <w:tmpl w:val="D9B0EE30"/>
    <w:lvl w:ilvl="0" w:tplc="62C80100">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32"/>
    <w:rsid w:val="0027553B"/>
    <w:rsid w:val="00531E90"/>
    <w:rsid w:val="00564CCC"/>
    <w:rsid w:val="00664A8C"/>
    <w:rsid w:val="00724632"/>
    <w:rsid w:val="00935185"/>
    <w:rsid w:val="00B0646A"/>
    <w:rsid w:val="00B34A0B"/>
    <w:rsid w:val="00B86C6A"/>
    <w:rsid w:val="00C6179A"/>
    <w:rsid w:val="00D527CF"/>
    <w:rsid w:val="00EC75CA"/>
    <w:rsid w:val="00E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85"/>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935185"/>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5185"/>
    <w:rPr>
      <w:rFonts w:ascii="Arial" w:eastAsia="Times New Roman" w:hAnsi="Arial" w:cs="Arial"/>
      <w:b/>
      <w:bCs/>
      <w:noProof/>
      <w:kern w:val="16"/>
      <w:sz w:val="20"/>
      <w:szCs w:val="20"/>
    </w:rPr>
  </w:style>
  <w:style w:type="paragraph" w:styleId="ListeParagraf">
    <w:name w:val="List Paragraph"/>
    <w:aliases w:val="içindekiler vbCxSpLast"/>
    <w:basedOn w:val="Normal"/>
    <w:link w:val="ListeParagrafChar"/>
    <w:uiPriority w:val="34"/>
    <w:qFormat/>
    <w:rsid w:val="0027553B"/>
    <w:pPr>
      <w:ind w:left="720"/>
      <w:contextualSpacing/>
    </w:pPr>
  </w:style>
  <w:style w:type="character" w:customStyle="1" w:styleId="ListeParagrafChar">
    <w:name w:val="Liste Paragraf Char"/>
    <w:aliases w:val="içindekiler vbCxSpLast Char"/>
    <w:basedOn w:val="VarsaylanParagrafYazTipi"/>
    <w:link w:val="ListeParagraf"/>
    <w:uiPriority w:val="34"/>
    <w:rsid w:val="00EC75CA"/>
    <w:rPr>
      <w:rFonts w:ascii="Times New Roman" w:eastAsia="Times New Roman" w:hAnsi="Times New Roman" w:cs="Times New Roman"/>
      <w:noProof/>
      <w:kern w:val="16"/>
      <w:positio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85"/>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935185"/>
    <w:pPr>
      <w:keepNext/>
      <w:widowControl w:val="0"/>
      <w:ind w:right="170"/>
      <w:jc w:val="center"/>
      <w:outlineLvl w:val="1"/>
    </w:pPr>
    <w:rPr>
      <w:rFonts w:ascii="Arial" w:hAnsi="Arial" w:cs="Arial"/>
      <w:b/>
      <w:bCs/>
      <w:position w:val="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35185"/>
    <w:rPr>
      <w:rFonts w:ascii="Arial" w:eastAsia="Times New Roman" w:hAnsi="Arial" w:cs="Arial"/>
      <w:b/>
      <w:bCs/>
      <w:noProof/>
      <w:kern w:val="16"/>
      <w:sz w:val="20"/>
      <w:szCs w:val="20"/>
    </w:rPr>
  </w:style>
  <w:style w:type="paragraph" w:styleId="ListeParagraf">
    <w:name w:val="List Paragraph"/>
    <w:aliases w:val="içindekiler vbCxSpLast"/>
    <w:basedOn w:val="Normal"/>
    <w:link w:val="ListeParagrafChar"/>
    <w:uiPriority w:val="34"/>
    <w:qFormat/>
    <w:rsid w:val="0027553B"/>
    <w:pPr>
      <w:ind w:left="720"/>
      <w:contextualSpacing/>
    </w:pPr>
  </w:style>
  <w:style w:type="character" w:customStyle="1" w:styleId="ListeParagrafChar">
    <w:name w:val="Liste Paragraf Char"/>
    <w:aliases w:val="içindekiler vbCxSpLast Char"/>
    <w:basedOn w:val="VarsaylanParagrafYazTipi"/>
    <w:link w:val="ListeParagraf"/>
    <w:uiPriority w:val="34"/>
    <w:rsid w:val="00EC75CA"/>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974">
      <w:bodyDiv w:val="1"/>
      <w:marLeft w:val="0"/>
      <w:marRight w:val="0"/>
      <w:marTop w:val="0"/>
      <w:marBottom w:val="0"/>
      <w:divBdr>
        <w:top w:val="none" w:sz="0" w:space="0" w:color="auto"/>
        <w:left w:val="none" w:sz="0" w:space="0" w:color="auto"/>
        <w:bottom w:val="none" w:sz="0" w:space="0" w:color="auto"/>
        <w:right w:val="none" w:sz="0" w:space="0" w:color="auto"/>
      </w:divBdr>
    </w:div>
    <w:div w:id="53897928">
      <w:bodyDiv w:val="1"/>
      <w:marLeft w:val="0"/>
      <w:marRight w:val="0"/>
      <w:marTop w:val="0"/>
      <w:marBottom w:val="0"/>
      <w:divBdr>
        <w:top w:val="none" w:sz="0" w:space="0" w:color="auto"/>
        <w:left w:val="none" w:sz="0" w:space="0" w:color="auto"/>
        <w:bottom w:val="none" w:sz="0" w:space="0" w:color="auto"/>
        <w:right w:val="none" w:sz="0" w:space="0" w:color="auto"/>
      </w:divBdr>
    </w:div>
    <w:div w:id="102071133">
      <w:bodyDiv w:val="1"/>
      <w:marLeft w:val="0"/>
      <w:marRight w:val="0"/>
      <w:marTop w:val="0"/>
      <w:marBottom w:val="0"/>
      <w:divBdr>
        <w:top w:val="none" w:sz="0" w:space="0" w:color="auto"/>
        <w:left w:val="none" w:sz="0" w:space="0" w:color="auto"/>
        <w:bottom w:val="none" w:sz="0" w:space="0" w:color="auto"/>
        <w:right w:val="none" w:sz="0" w:space="0" w:color="auto"/>
      </w:divBdr>
    </w:div>
    <w:div w:id="189882691">
      <w:bodyDiv w:val="1"/>
      <w:marLeft w:val="0"/>
      <w:marRight w:val="0"/>
      <w:marTop w:val="0"/>
      <w:marBottom w:val="0"/>
      <w:divBdr>
        <w:top w:val="none" w:sz="0" w:space="0" w:color="auto"/>
        <w:left w:val="none" w:sz="0" w:space="0" w:color="auto"/>
        <w:bottom w:val="none" w:sz="0" w:space="0" w:color="auto"/>
        <w:right w:val="none" w:sz="0" w:space="0" w:color="auto"/>
      </w:divBdr>
    </w:div>
    <w:div w:id="229117538">
      <w:bodyDiv w:val="1"/>
      <w:marLeft w:val="0"/>
      <w:marRight w:val="0"/>
      <w:marTop w:val="0"/>
      <w:marBottom w:val="0"/>
      <w:divBdr>
        <w:top w:val="none" w:sz="0" w:space="0" w:color="auto"/>
        <w:left w:val="none" w:sz="0" w:space="0" w:color="auto"/>
        <w:bottom w:val="none" w:sz="0" w:space="0" w:color="auto"/>
        <w:right w:val="none" w:sz="0" w:space="0" w:color="auto"/>
      </w:divBdr>
    </w:div>
    <w:div w:id="307630816">
      <w:bodyDiv w:val="1"/>
      <w:marLeft w:val="0"/>
      <w:marRight w:val="0"/>
      <w:marTop w:val="0"/>
      <w:marBottom w:val="0"/>
      <w:divBdr>
        <w:top w:val="none" w:sz="0" w:space="0" w:color="auto"/>
        <w:left w:val="none" w:sz="0" w:space="0" w:color="auto"/>
        <w:bottom w:val="none" w:sz="0" w:space="0" w:color="auto"/>
        <w:right w:val="none" w:sz="0" w:space="0" w:color="auto"/>
      </w:divBdr>
    </w:div>
    <w:div w:id="398014996">
      <w:bodyDiv w:val="1"/>
      <w:marLeft w:val="0"/>
      <w:marRight w:val="0"/>
      <w:marTop w:val="0"/>
      <w:marBottom w:val="0"/>
      <w:divBdr>
        <w:top w:val="none" w:sz="0" w:space="0" w:color="auto"/>
        <w:left w:val="none" w:sz="0" w:space="0" w:color="auto"/>
        <w:bottom w:val="none" w:sz="0" w:space="0" w:color="auto"/>
        <w:right w:val="none" w:sz="0" w:space="0" w:color="auto"/>
      </w:divBdr>
    </w:div>
    <w:div w:id="461073937">
      <w:bodyDiv w:val="1"/>
      <w:marLeft w:val="0"/>
      <w:marRight w:val="0"/>
      <w:marTop w:val="0"/>
      <w:marBottom w:val="0"/>
      <w:divBdr>
        <w:top w:val="none" w:sz="0" w:space="0" w:color="auto"/>
        <w:left w:val="none" w:sz="0" w:space="0" w:color="auto"/>
        <w:bottom w:val="none" w:sz="0" w:space="0" w:color="auto"/>
        <w:right w:val="none" w:sz="0" w:space="0" w:color="auto"/>
      </w:divBdr>
    </w:div>
    <w:div w:id="467166485">
      <w:bodyDiv w:val="1"/>
      <w:marLeft w:val="0"/>
      <w:marRight w:val="0"/>
      <w:marTop w:val="0"/>
      <w:marBottom w:val="0"/>
      <w:divBdr>
        <w:top w:val="none" w:sz="0" w:space="0" w:color="auto"/>
        <w:left w:val="none" w:sz="0" w:space="0" w:color="auto"/>
        <w:bottom w:val="none" w:sz="0" w:space="0" w:color="auto"/>
        <w:right w:val="none" w:sz="0" w:space="0" w:color="auto"/>
      </w:divBdr>
    </w:div>
    <w:div w:id="905650912">
      <w:bodyDiv w:val="1"/>
      <w:marLeft w:val="0"/>
      <w:marRight w:val="0"/>
      <w:marTop w:val="0"/>
      <w:marBottom w:val="0"/>
      <w:divBdr>
        <w:top w:val="none" w:sz="0" w:space="0" w:color="auto"/>
        <w:left w:val="none" w:sz="0" w:space="0" w:color="auto"/>
        <w:bottom w:val="none" w:sz="0" w:space="0" w:color="auto"/>
        <w:right w:val="none" w:sz="0" w:space="0" w:color="auto"/>
      </w:divBdr>
    </w:div>
    <w:div w:id="1106853591">
      <w:bodyDiv w:val="1"/>
      <w:marLeft w:val="0"/>
      <w:marRight w:val="0"/>
      <w:marTop w:val="0"/>
      <w:marBottom w:val="0"/>
      <w:divBdr>
        <w:top w:val="none" w:sz="0" w:space="0" w:color="auto"/>
        <w:left w:val="none" w:sz="0" w:space="0" w:color="auto"/>
        <w:bottom w:val="none" w:sz="0" w:space="0" w:color="auto"/>
        <w:right w:val="none" w:sz="0" w:space="0" w:color="auto"/>
      </w:divBdr>
    </w:div>
    <w:div w:id="1191142835">
      <w:bodyDiv w:val="1"/>
      <w:marLeft w:val="0"/>
      <w:marRight w:val="0"/>
      <w:marTop w:val="0"/>
      <w:marBottom w:val="0"/>
      <w:divBdr>
        <w:top w:val="none" w:sz="0" w:space="0" w:color="auto"/>
        <w:left w:val="none" w:sz="0" w:space="0" w:color="auto"/>
        <w:bottom w:val="none" w:sz="0" w:space="0" w:color="auto"/>
        <w:right w:val="none" w:sz="0" w:space="0" w:color="auto"/>
      </w:divBdr>
    </w:div>
    <w:div w:id="1325662237">
      <w:bodyDiv w:val="1"/>
      <w:marLeft w:val="0"/>
      <w:marRight w:val="0"/>
      <w:marTop w:val="0"/>
      <w:marBottom w:val="0"/>
      <w:divBdr>
        <w:top w:val="none" w:sz="0" w:space="0" w:color="auto"/>
        <w:left w:val="none" w:sz="0" w:space="0" w:color="auto"/>
        <w:bottom w:val="none" w:sz="0" w:space="0" w:color="auto"/>
        <w:right w:val="none" w:sz="0" w:space="0" w:color="auto"/>
      </w:divBdr>
    </w:div>
    <w:div w:id="1608080933">
      <w:bodyDiv w:val="1"/>
      <w:marLeft w:val="0"/>
      <w:marRight w:val="0"/>
      <w:marTop w:val="0"/>
      <w:marBottom w:val="0"/>
      <w:divBdr>
        <w:top w:val="none" w:sz="0" w:space="0" w:color="auto"/>
        <w:left w:val="none" w:sz="0" w:space="0" w:color="auto"/>
        <w:bottom w:val="none" w:sz="0" w:space="0" w:color="auto"/>
        <w:right w:val="none" w:sz="0" w:space="0" w:color="auto"/>
      </w:divBdr>
    </w:div>
    <w:div w:id="1851096191">
      <w:bodyDiv w:val="1"/>
      <w:marLeft w:val="0"/>
      <w:marRight w:val="0"/>
      <w:marTop w:val="0"/>
      <w:marBottom w:val="0"/>
      <w:divBdr>
        <w:top w:val="none" w:sz="0" w:space="0" w:color="auto"/>
        <w:left w:val="none" w:sz="0" w:space="0" w:color="auto"/>
        <w:bottom w:val="none" w:sz="0" w:space="0" w:color="auto"/>
        <w:right w:val="none" w:sz="0" w:space="0" w:color="auto"/>
      </w:divBdr>
    </w:div>
    <w:div w:id="20694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3148</Words>
  <Characters>17946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11</cp:revision>
  <cp:lastPrinted>2021-02-26T07:33:00Z</cp:lastPrinted>
  <dcterms:created xsi:type="dcterms:W3CDTF">2021-02-26T06:51:00Z</dcterms:created>
  <dcterms:modified xsi:type="dcterms:W3CDTF">2021-02-26T07:33:00Z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1614322278</vt:lpwstr>
  </property>
  <property fmtid="{D5CDD505-2E9C-101B-9397-08002B2CF9AE}" pid="5" name="DLPManualFileClassificationVersion">
    <vt:lpwstr>11.4.0.45</vt:lpwstr>
  </property>
</Properties>
</file>