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E3" w:rsidRPr="007629F9" w:rsidRDefault="001F55E3" w:rsidP="001F55E3">
      <w:pPr>
        <w:rPr>
          <w:rFonts w:ascii="Arial" w:hAnsi="Arial" w:cs="Arial"/>
          <w:sz w:val="20"/>
          <w:szCs w:val="20"/>
        </w:rPr>
      </w:pPr>
      <w:r w:rsidRPr="007629F9">
        <w:rPr>
          <w:rFonts w:ascii="Arial" w:eastAsia="Times New Roman" w:hAnsi="Arial" w:cs="Arial"/>
          <w:b/>
          <w:sz w:val="20"/>
          <w:szCs w:val="20"/>
        </w:rPr>
        <w:t>Resmi Gazete</w:t>
      </w:r>
      <w:r w:rsidRPr="007629F9">
        <w:rPr>
          <w:rFonts w:ascii="Arial" w:eastAsia="Times New Roman" w:hAnsi="Arial" w:cs="Arial"/>
          <w:b/>
          <w:sz w:val="20"/>
          <w:szCs w:val="20"/>
        </w:rPr>
        <w:tab/>
        <w:t xml:space="preserve">: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7629F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Nisan</w:t>
      </w:r>
      <w:r w:rsidRPr="007629F9">
        <w:rPr>
          <w:rFonts w:ascii="Arial" w:eastAsia="Times New Roman" w:hAnsi="Arial" w:cs="Arial"/>
          <w:sz w:val="20"/>
          <w:szCs w:val="20"/>
        </w:rPr>
        <w:t xml:space="preserve"> 2011</w:t>
      </w:r>
    </w:p>
    <w:p w:rsidR="001F55E3" w:rsidRPr="007629F9" w:rsidRDefault="001F55E3" w:rsidP="001F55E3">
      <w:pPr>
        <w:rPr>
          <w:rFonts w:ascii="Arial" w:hAnsi="Arial" w:cs="Arial"/>
          <w:b/>
          <w:sz w:val="20"/>
          <w:szCs w:val="20"/>
        </w:rPr>
      </w:pPr>
      <w:r w:rsidRPr="007629F9">
        <w:rPr>
          <w:rFonts w:ascii="Arial" w:hAnsi="Arial" w:cs="Arial"/>
          <w:b/>
          <w:sz w:val="20"/>
          <w:szCs w:val="20"/>
        </w:rPr>
        <w:t>Sayı</w:t>
      </w:r>
      <w:r w:rsidRPr="007629F9">
        <w:rPr>
          <w:rFonts w:ascii="Arial" w:hAnsi="Arial" w:cs="Arial"/>
          <w:b/>
          <w:sz w:val="20"/>
          <w:szCs w:val="20"/>
        </w:rPr>
        <w:tab/>
      </w:r>
      <w:r w:rsidRPr="007629F9">
        <w:rPr>
          <w:rFonts w:ascii="Arial" w:hAnsi="Arial" w:cs="Arial"/>
          <w:b/>
          <w:sz w:val="20"/>
          <w:szCs w:val="20"/>
        </w:rPr>
        <w:tab/>
        <w:t>:</w:t>
      </w:r>
      <w:r w:rsidRPr="007629F9">
        <w:rPr>
          <w:rFonts w:ascii="Arial" w:eastAsia="Times New Roman" w:hAnsi="Arial" w:cs="Arial"/>
          <w:sz w:val="20"/>
          <w:szCs w:val="20"/>
        </w:rPr>
        <w:t xml:space="preserve"> 278</w:t>
      </w:r>
      <w:r>
        <w:rPr>
          <w:rFonts w:ascii="Arial" w:eastAsia="Times New Roman" w:hAnsi="Arial" w:cs="Arial"/>
          <w:sz w:val="20"/>
          <w:szCs w:val="20"/>
        </w:rPr>
        <w:t>93</w:t>
      </w:r>
      <w:r w:rsidRPr="007629F9">
        <w:rPr>
          <w:rFonts w:ascii="Arial" w:hAnsi="Arial" w:cs="Arial"/>
          <w:b/>
          <w:sz w:val="20"/>
          <w:szCs w:val="20"/>
        </w:rPr>
        <w:tab/>
      </w:r>
    </w:p>
    <w:p w:rsidR="001F55E3" w:rsidRPr="007629F9" w:rsidRDefault="001F55E3" w:rsidP="001F55E3">
      <w:pPr>
        <w:tabs>
          <w:tab w:val="left" w:pos="566"/>
        </w:tabs>
        <w:spacing w:after="0" w:line="240" w:lineRule="exact"/>
        <w:rPr>
          <w:rFonts w:ascii="Arial" w:eastAsia="ヒラギノ明朝 Pro W3" w:hAnsi="Arial" w:cs="Arial"/>
          <w:sz w:val="20"/>
          <w:szCs w:val="20"/>
          <w:u w:val="single"/>
          <w:lang w:eastAsia="en-US"/>
        </w:rPr>
      </w:pPr>
      <w:r w:rsidRPr="00CB54DE">
        <w:rPr>
          <w:rFonts w:ascii="Arial" w:eastAsia="ヒラギノ明朝 Pro W3" w:hAnsi="Arial" w:cs="Arial"/>
          <w:sz w:val="20"/>
          <w:szCs w:val="20"/>
          <w:u w:val="single"/>
          <w:lang w:eastAsia="en-US"/>
        </w:rPr>
        <w:t>Başbakanlık (Hazine Müsteşarlığı)’tan:</w:t>
      </w:r>
    </w:p>
    <w:p w:rsidR="001F55E3" w:rsidRDefault="001F55E3" w:rsidP="001F55E3"/>
    <w:p w:rsidR="001F55E3" w:rsidRPr="00EE2917" w:rsidRDefault="001F55E3" w:rsidP="00EE2917">
      <w:pPr>
        <w:pStyle w:val="Balk2"/>
        <w:tabs>
          <w:tab w:val="left" w:pos="7230"/>
          <w:tab w:val="left" w:pos="7938"/>
        </w:tabs>
      </w:pPr>
      <w:r w:rsidRPr="00EE2917">
        <w:t>EMEKLİLİĞE YÖNELİK TAAHHÜTTE BULUNAN KURULUŞLARIN</w:t>
      </w:r>
      <w:r w:rsidR="00EE2917">
        <w:t xml:space="preserve"> </w:t>
      </w:r>
      <w:r w:rsidRPr="00EE2917">
        <w:t>AKTÜERYAL DENETİMİ HAKKINDA YÖNETMELİKTE</w:t>
      </w:r>
      <w:r w:rsidR="00EE2917">
        <w:t xml:space="preserve"> </w:t>
      </w:r>
      <w:r w:rsidRPr="00EE2917">
        <w:t>DEĞİŞİKLİK YAPILMASINA DAİR YÖNETMELİK</w:t>
      </w:r>
    </w:p>
    <w:p w:rsidR="001F55E3" w:rsidRDefault="001F55E3" w:rsidP="001F55E3">
      <w:pPr>
        <w:jc w:val="both"/>
      </w:pP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bCs/>
          <w:sz w:val="20"/>
          <w:szCs w:val="20"/>
          <w:lang w:eastAsia="en-US"/>
        </w:rPr>
        <w:t>MADDE 1 –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</w:t>
      </w:r>
      <w:proofErr w:type="gram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1/3/2009</w:t>
      </w:r>
      <w:proofErr w:type="gram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tarihli ve 27156 sayılı Resmî Gazete’de yayımlanan Emekliliğe Yönelik Taahhütte Bulunan Kuruluşların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Aktüeryal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Denetimi Hakkında Yönetmeliğin 6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ncı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maddesine aşağıdaki dördüncü fıkra eklenmiş ve mevcut dördüncü fıkra beşinci fıkra olarak teselsül ettirilmiştir.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“(4) Hizmet sunucusu, katkılar ile üye veya çalışanlara yönelik emeklilik taahhütlerine ilişkin birikimlerin, yatırım riskleri gözetilerek uygun yatırım araçlarına yönlendirilmesini sağlar.”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 xml:space="preserve">MADDE 2 – 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Aynı Yönetmeliğin 7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nci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maddesi aşağıdaki şekilde değiştirilmiştir.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 xml:space="preserve">“MADDE 7 – 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(1) Hizmet sunucusu, içeriği Müsteşarlıkça belirlenen elektronik veri setini altışar aylık veya yıllık dönemler halinde hazırlayarak ilgili olduğu dönemi takip eden ikinci ayın sonuna kadar Müsteşarlığa gönderir.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(2) Hizmet sunucusu, yıllık veya ikişer yıllık dönemler halinde hazırlanan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raporu ile yıllık mali tablolarını, elektronik örnekleri ile birlikte ilgili olduğu yılı takip eden yılın Mayıs veya Eylül ayı sonuna kadar Müsteşarlığa gönderir.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(3) Müsteşarlık, birinci ve ikinci fıkralarda belirtilen esaslar </w:t>
      </w:r>
      <w:proofErr w:type="gram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dahilinde</w:t>
      </w:r>
      <w:proofErr w:type="gram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, emeklilik taahhüt tipini, üye sayısını veya taahhüt büyüklüğünü dikkate alarak, veri setlerinin ve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raporunun gönderim süre ve tarihlerini, hizmet sunucusunun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aktüeryal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denetim açısından önemine göre farklı olacak şekilde belirleyebilir.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(4) Hizmet sunucusu, iletişim bilgileri ve yönetici bilgileri ile emeklilik taahhütlerinde meydana gelen değişiklikleri, değişikliğin yapıldığı tarihi müteakip bir ay içinde Müsteşarlığa bildirir.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(5) Müsteşarlık, gerek görmesi halinde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aktüeryal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denetime ilişkin olarak ek bilgi ve belge isteyebilir.”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 xml:space="preserve">MADDE 3 – 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Aynı Yönetmeliğin 9 uncu maddesinin birinci fıkrası aşağıdaki şekilde değiştirilmiştir.</w:t>
      </w:r>
    </w:p>
    <w:p w:rsidR="001F55E3" w:rsidRPr="006B19BA" w:rsidRDefault="001F55E3" w:rsidP="001F55E3">
      <w:pPr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“(1)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raporu, hizmet sunucusunun emekliliğe yönelik taahhütlerine ilişkin faaliyetlerinin bütününü kapsayacak ve taahhüt tipine göre Ek-1’de belirtilen asgari unsurları içerecek şekilde düzenlenir.”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 xml:space="preserve">MADDE 4 – 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Aynı Yönetmeliğin ekinde yer alan Ek-1 aşağıdaki şekilde değiştirilmiştir.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b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>“Ek-1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proofErr w:type="spellStart"/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>Aktüerya</w:t>
      </w:r>
      <w:proofErr w:type="spellEnd"/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 xml:space="preserve"> Raporu Asgari İçeriği (Tanımlanmış Fayda Esaslı Emeklilik Planları)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1. Rapor özeti.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2. Hizmet sunucusuna ve taahhüt tipine ilişkin genel bilgi ve değerlendirme.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3. Veri kayıtlarının yeterliliğine ve uygunluğuna ilişkin değerlendirme ve öneriler.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4. Kullanılan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aktüeryal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değerleme yöntemi ve nedenleri.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5. Kullanılan ekonomik, demografik ve diğer varsayımlar, varsayımların seçim nedenleri, varsayımların seçiminde varsa yapılan analizler.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6. Hizmet sunucusu tarafından sağlanan hizmet, fayda ve diğer taahhütler ile bu taahhütlere ilişkin yükümlülükler.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7. Varsa yükümlülüklere istinaden alınan katkılara ilişkin değerlendirme.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8. Yükümlülükler için ayrılmış varlıkların yapısı, bu varlıkların değerlemesine ve varlık yönetimi sürecine ilişkin değerlendirmeler ile son 3 yıl içinde varlıklardan sağlanan yatırım gelirleri.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9. Teknik faiz,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mortalite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, enflasyon ve aktüerin öngöreceği diğer parametrelere göre duyarlılık analizleri.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10. </w:t>
      </w:r>
      <w:proofErr w:type="spellStart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Aktüeryal</w:t>
      </w:r>
      <w:proofErr w:type="spellEnd"/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dengeye ilişkin kısa, orta ve uzun vadeli analiz, değerlendirme ve öneriler.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b/>
          <w:sz w:val="20"/>
          <w:szCs w:val="20"/>
          <w:lang w:eastAsia="en-US"/>
        </w:rPr>
      </w:pPr>
      <w:proofErr w:type="spellStart"/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>Aktüerya</w:t>
      </w:r>
      <w:proofErr w:type="spellEnd"/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 xml:space="preserve"> Raporu Asgari İçeriği (Tanımlanmış Katkı Esaslı Emeklilik Planları)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1. Rapor özeti.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2. Hizmet sunucusuna ve taahhüt tipine ilişkin genel bilgi ve değerlendirme.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3. Veri kayıtlarının yeterliliğine ve uygunluğuna ilişkin değerlendirme ve öneriler.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lastRenderedPageBreak/>
        <w:t>4. Kullanılan ekonomik, demografik ve diğer varsayımlar, varsayımların seçim nedenleri, varsayımların seçiminde varsa yapılan analizler.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5. Hizmet sunucusu tarafından sağlanan hizmet, fayda ve diğer taahhütler ile bu taahhütlere ilişkin yükümlülükler.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6. Varlık yönetimi süreci, yatırım stratejisi ve yatırım tercihlerine ilişkin değerlendirmeler ile son 3 yıl içinde varlıklardan sağlanan yatırım gelirleri.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7. Getiri oranı, enflasyon ve aktüerin öngöreceği diğer parametrelere göre duyarlılık analizleri.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>8. Emekliliğe yönelik muhtemel birikime ilişkin değerlendirme ve öneriler.”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>MADDE 5 –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Bu Yönetmelik yayımı tarihinde yürürlüğe girer.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  <w:r w:rsidRPr="006B19BA">
        <w:rPr>
          <w:rFonts w:ascii="Arial" w:eastAsia="ヒラギノ明朝 Pro W3" w:hAnsi="Arial" w:cs="Arial"/>
          <w:b/>
          <w:sz w:val="20"/>
          <w:szCs w:val="20"/>
          <w:lang w:eastAsia="en-US"/>
        </w:rPr>
        <w:tab/>
        <w:t>MADDE 6 –</w:t>
      </w:r>
      <w:r w:rsidRPr="006B19BA">
        <w:rPr>
          <w:rFonts w:ascii="Arial" w:eastAsia="ヒラギノ明朝 Pro W3" w:hAnsi="Arial" w:cs="Arial"/>
          <w:sz w:val="20"/>
          <w:szCs w:val="20"/>
          <w:lang w:eastAsia="en-US"/>
        </w:rPr>
        <w:t xml:space="preserve"> Bu Yönetmelik hükümlerini Hazine Müsteşarlığının bağlı olduğu Bakan yürütür.</w:t>
      </w:r>
    </w:p>
    <w:p w:rsidR="001F55E3" w:rsidRPr="006B19BA" w:rsidRDefault="001F55E3" w:rsidP="001F55E3">
      <w:pPr>
        <w:tabs>
          <w:tab w:val="left" w:pos="566"/>
        </w:tabs>
        <w:spacing w:after="0" w:line="240" w:lineRule="exact"/>
        <w:jc w:val="both"/>
        <w:rPr>
          <w:rFonts w:ascii="Arial" w:eastAsia="ヒラギノ明朝 Pro W3" w:hAnsi="Arial" w:cs="Arial"/>
          <w:sz w:val="20"/>
          <w:szCs w:val="20"/>
          <w:lang w:eastAsia="en-U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4251"/>
      </w:tblGrid>
      <w:tr w:rsidR="001F55E3" w:rsidRPr="006B19BA" w:rsidTr="006B19BA">
        <w:trPr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BA" w:rsidRPr="006B19BA" w:rsidRDefault="001F55E3" w:rsidP="001F55E3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Arial" w:eastAsia="ヒラギノ明朝 Pro W3" w:hAnsi="Arial" w:cs="Arial"/>
                <w:b/>
                <w:sz w:val="20"/>
                <w:szCs w:val="20"/>
                <w:lang w:eastAsia="en-US"/>
              </w:rPr>
            </w:pPr>
            <w:r w:rsidRPr="006B19BA">
              <w:rPr>
                <w:rFonts w:ascii="Arial" w:eastAsia="ヒラギノ明朝 Pro W3" w:hAnsi="Arial" w:cs="Arial"/>
                <w:b/>
                <w:sz w:val="20"/>
                <w:szCs w:val="20"/>
                <w:lang w:eastAsia="en-US"/>
              </w:rPr>
              <w:t>Yönetmeliğin Yayımlandığı Resmî Gazete'nin</w:t>
            </w:r>
          </w:p>
        </w:tc>
      </w:tr>
      <w:tr w:rsidR="001F55E3" w:rsidRPr="006B19BA" w:rsidTr="006B19BA">
        <w:trPr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19BA" w:rsidRPr="006B19BA" w:rsidRDefault="001F55E3" w:rsidP="001F55E3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Arial" w:eastAsia="ヒラギノ明朝 Pro W3" w:hAnsi="Arial" w:cs="Arial"/>
                <w:b/>
                <w:sz w:val="20"/>
                <w:szCs w:val="20"/>
                <w:lang w:eastAsia="en-US"/>
              </w:rPr>
            </w:pPr>
            <w:r w:rsidRPr="006B19BA">
              <w:rPr>
                <w:rFonts w:ascii="Arial" w:eastAsia="ヒラギノ明朝 Pro W3" w:hAnsi="Arial" w:cs="Arial"/>
                <w:b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9BA" w:rsidRPr="006B19BA" w:rsidRDefault="001F55E3" w:rsidP="001F55E3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Arial" w:eastAsia="ヒラギノ明朝 Pro W3" w:hAnsi="Arial" w:cs="Arial"/>
                <w:b/>
                <w:sz w:val="20"/>
                <w:szCs w:val="20"/>
                <w:lang w:eastAsia="en-US"/>
              </w:rPr>
            </w:pPr>
            <w:r w:rsidRPr="006B19BA">
              <w:rPr>
                <w:rFonts w:ascii="Arial" w:eastAsia="ヒラギノ明朝 Pro W3" w:hAnsi="Arial" w:cs="Arial"/>
                <w:b/>
                <w:sz w:val="20"/>
                <w:szCs w:val="20"/>
                <w:lang w:eastAsia="en-US"/>
              </w:rPr>
              <w:t>Sayısı</w:t>
            </w:r>
          </w:p>
        </w:tc>
      </w:tr>
      <w:tr w:rsidR="001F55E3" w:rsidRPr="006B19BA" w:rsidTr="006B19B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A" w:rsidRPr="006B19BA" w:rsidRDefault="001F55E3" w:rsidP="001F55E3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Arial" w:eastAsia="ヒラギノ明朝 Pro W3" w:hAnsi="Arial" w:cs="Arial"/>
                <w:sz w:val="20"/>
                <w:szCs w:val="20"/>
                <w:lang w:eastAsia="en-US"/>
              </w:rPr>
            </w:pPr>
            <w:proofErr w:type="gramStart"/>
            <w:r w:rsidRPr="006B19BA">
              <w:rPr>
                <w:rFonts w:ascii="Arial" w:eastAsia="ヒラギノ明朝 Pro W3" w:hAnsi="Arial" w:cs="Arial"/>
                <w:sz w:val="20"/>
                <w:szCs w:val="20"/>
                <w:lang w:eastAsia="en-US"/>
              </w:rPr>
              <w:t>1/3/2009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BA" w:rsidRPr="006B19BA" w:rsidRDefault="001F55E3" w:rsidP="001F55E3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Arial" w:eastAsia="ヒラギノ明朝 Pro W3" w:hAnsi="Arial" w:cs="Arial"/>
                <w:sz w:val="20"/>
                <w:szCs w:val="20"/>
                <w:lang w:eastAsia="en-US"/>
              </w:rPr>
            </w:pPr>
            <w:r w:rsidRPr="006B19BA">
              <w:rPr>
                <w:rFonts w:ascii="Arial" w:eastAsia="ヒラギノ明朝 Pro W3" w:hAnsi="Arial" w:cs="Arial"/>
                <w:sz w:val="20"/>
                <w:szCs w:val="20"/>
                <w:lang w:eastAsia="en-US"/>
              </w:rPr>
              <w:t>27156</w:t>
            </w:r>
          </w:p>
        </w:tc>
      </w:tr>
    </w:tbl>
    <w:p w:rsidR="001F55E3" w:rsidRPr="006B19BA" w:rsidRDefault="001F55E3" w:rsidP="001F55E3">
      <w:pPr>
        <w:jc w:val="center"/>
      </w:pPr>
    </w:p>
    <w:sectPr w:rsidR="001F55E3" w:rsidRPr="006B19BA" w:rsidSect="00EE2917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72" w:rsidRDefault="00183572" w:rsidP="00D7545B">
      <w:pPr>
        <w:spacing w:after="0" w:line="240" w:lineRule="auto"/>
      </w:pPr>
      <w:r>
        <w:separator/>
      </w:r>
    </w:p>
  </w:endnote>
  <w:endnote w:type="continuationSeparator" w:id="1">
    <w:p w:rsidR="00183572" w:rsidRDefault="00183572" w:rsidP="00D7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72" w:rsidRDefault="00183572">
    <w:pPr>
      <w:pStyle w:val="Altbilgi"/>
    </w:pPr>
    <w:r>
      <w:rPr>
        <w:noProof/>
      </w:rPr>
      <w:drawing>
        <wp:inline distT="0" distB="0" distL="0" distR="0">
          <wp:extent cx="1485900" cy="180975"/>
          <wp:effectExtent l="19050" t="0" r="0" b="0"/>
          <wp:docPr id="1" name="Resim 49" descr="egm_ya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9" descr="egm_yat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572" w:rsidRDefault="001835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72" w:rsidRDefault="00183572" w:rsidP="00D7545B">
      <w:pPr>
        <w:spacing w:after="0" w:line="240" w:lineRule="auto"/>
      </w:pPr>
      <w:r>
        <w:separator/>
      </w:r>
    </w:p>
  </w:footnote>
  <w:footnote w:type="continuationSeparator" w:id="1">
    <w:p w:rsidR="00183572" w:rsidRDefault="00183572" w:rsidP="00D7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6160"/>
    <w:rsid w:val="00075D7B"/>
    <w:rsid w:val="00183572"/>
    <w:rsid w:val="001F55E3"/>
    <w:rsid w:val="002D7CDC"/>
    <w:rsid w:val="0050133C"/>
    <w:rsid w:val="006A6160"/>
    <w:rsid w:val="006B19BA"/>
    <w:rsid w:val="009556C1"/>
    <w:rsid w:val="00BB405E"/>
    <w:rsid w:val="00D7545B"/>
    <w:rsid w:val="00D940DE"/>
    <w:rsid w:val="00E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C1"/>
  </w:style>
  <w:style w:type="paragraph" w:styleId="Balk2">
    <w:name w:val="heading 2"/>
    <w:basedOn w:val="Normal"/>
    <w:next w:val="Normal"/>
    <w:link w:val="Balk2Char"/>
    <w:autoRedefine/>
    <w:qFormat/>
    <w:rsid w:val="00183572"/>
    <w:pPr>
      <w:keepNext/>
      <w:widowControl w:val="0"/>
      <w:spacing w:before="60" w:after="60" w:line="240" w:lineRule="auto"/>
      <w:ind w:right="170"/>
      <w:jc w:val="center"/>
      <w:outlineLvl w:val="1"/>
    </w:pPr>
    <w:rPr>
      <w:rFonts w:ascii="Arial" w:eastAsia="Times New Roman" w:hAnsi="Arial" w:cs="Arial"/>
      <w:b/>
      <w:bCs/>
      <w:noProof/>
      <w:kern w:val="2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7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545B"/>
  </w:style>
  <w:style w:type="paragraph" w:styleId="Altbilgi">
    <w:name w:val="footer"/>
    <w:basedOn w:val="Normal"/>
    <w:link w:val="AltbilgiChar"/>
    <w:uiPriority w:val="99"/>
    <w:unhideWhenUsed/>
    <w:rsid w:val="00D7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45B"/>
  </w:style>
  <w:style w:type="paragraph" w:styleId="BalonMetni">
    <w:name w:val="Balloon Text"/>
    <w:basedOn w:val="Normal"/>
    <w:link w:val="BalonMetniChar"/>
    <w:uiPriority w:val="99"/>
    <w:semiHidden/>
    <w:unhideWhenUsed/>
    <w:rsid w:val="00D7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45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183572"/>
    <w:rPr>
      <w:rFonts w:ascii="Arial" w:eastAsia="Times New Roman" w:hAnsi="Arial" w:cs="Arial"/>
      <w:b/>
      <w:bCs/>
      <w:noProof/>
      <w:kern w:val="2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EGM 6642</dc:creator>
  <cp:keywords/>
  <dc:description/>
  <cp:lastModifiedBy> EGM 6642</cp:lastModifiedBy>
  <cp:revision>9</cp:revision>
  <dcterms:created xsi:type="dcterms:W3CDTF">2011-04-04T06:24:00Z</dcterms:created>
  <dcterms:modified xsi:type="dcterms:W3CDTF">2011-04-04T07:06:00Z</dcterms:modified>
</cp:coreProperties>
</file>