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BF542B" w:rsidRPr="00416514" w:rsidTr="000E3C53">
        <w:trPr>
          <w:trHeight w:val="480"/>
          <w:jc w:val="center"/>
        </w:trPr>
        <w:tc>
          <w:tcPr>
            <w:tcW w:w="8789" w:type="dxa"/>
            <w:vAlign w:val="center"/>
          </w:tcPr>
          <w:p w:rsidR="00BF542B" w:rsidRPr="00416514" w:rsidRDefault="00BF542B" w:rsidP="000E3C53">
            <w:pPr>
              <w:tabs>
                <w:tab w:val="left" w:pos="566"/>
              </w:tabs>
              <w:spacing w:after="0" w:line="240" w:lineRule="exact"/>
              <w:ind w:firstLine="566"/>
              <w:rPr>
                <w:rFonts w:ascii="Arial" w:eastAsia="ヒラギノ明朝 Pro W3" w:hAnsi="Arial" w:cs="Arial"/>
                <w:sz w:val="20"/>
                <w:szCs w:val="20"/>
                <w:u w:val="single"/>
              </w:rPr>
            </w:pPr>
            <w:bookmarkStart w:id="0" w:name="_GoBack"/>
            <w:bookmarkEnd w:id="0"/>
          </w:p>
        </w:tc>
      </w:tr>
    </w:tbl>
    <w:p w:rsidR="00BF542B" w:rsidRPr="00416514" w:rsidRDefault="00BF542B" w:rsidP="00BF542B">
      <w:pPr>
        <w:tabs>
          <w:tab w:val="left" w:pos="938"/>
        </w:tabs>
        <w:spacing w:before="100" w:beforeAutospacing="1" w:after="100" w:afterAutospacing="1"/>
        <w:contextualSpacing/>
        <w:jc w:val="right"/>
        <w:rPr>
          <w:rFonts w:ascii="Arial" w:hAnsi="Arial" w:cs="Arial"/>
          <w:b/>
          <w:sz w:val="20"/>
          <w:szCs w:val="20"/>
        </w:rPr>
      </w:pPr>
      <w:r w:rsidRPr="00416514">
        <w:rPr>
          <w:rFonts w:ascii="Arial" w:hAnsi="Arial" w:cs="Arial"/>
          <w:b/>
          <w:sz w:val="20"/>
          <w:szCs w:val="20"/>
        </w:rPr>
        <w:t>Ek-1</w:t>
      </w:r>
    </w:p>
    <w:p w:rsidR="00BF542B" w:rsidRPr="00416514" w:rsidRDefault="00BF542B" w:rsidP="00BF542B">
      <w:pPr>
        <w:tabs>
          <w:tab w:val="left" w:pos="938"/>
        </w:tabs>
        <w:spacing w:before="100" w:beforeAutospacing="1" w:after="100" w:afterAutospacing="1"/>
        <w:contextualSpacing/>
        <w:jc w:val="center"/>
        <w:rPr>
          <w:rFonts w:ascii="Arial" w:hAnsi="Arial" w:cs="Arial"/>
          <w:b/>
          <w:sz w:val="20"/>
          <w:szCs w:val="20"/>
        </w:rPr>
      </w:pPr>
      <w:r w:rsidRPr="00416514">
        <w:rPr>
          <w:rFonts w:ascii="Arial" w:hAnsi="Arial" w:cs="Arial"/>
          <w:b/>
          <w:sz w:val="20"/>
          <w:szCs w:val="20"/>
        </w:rPr>
        <w:t>Yıllara Göre Asgari Hak Kazanma Oranları Tablosu</w:t>
      </w:r>
    </w:p>
    <w:p w:rsidR="00BF542B" w:rsidRPr="00416514" w:rsidRDefault="00BF542B" w:rsidP="00BF542B">
      <w:pPr>
        <w:rPr>
          <w:rFonts w:ascii="Arial" w:hAnsi="Arial" w:cs="Arial"/>
          <w:sz w:val="20"/>
          <w:szCs w:val="20"/>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3B311E" w:rsidRPr="00416514" w:rsidTr="003B311E">
        <w:trPr>
          <w:trHeight w:val="429"/>
          <w:jc w:val="center"/>
        </w:trPr>
        <w:tc>
          <w:tcPr>
            <w:tcW w:w="1292" w:type="dxa"/>
            <w:tcBorders>
              <w:top w:val="nil"/>
              <w:left w:val="nil"/>
              <w:right w:val="nil"/>
            </w:tcBorders>
          </w:tcPr>
          <w:p w:rsidR="003B311E" w:rsidRPr="00416514" w:rsidRDefault="003B311E" w:rsidP="000E3C53">
            <w:pPr>
              <w:rPr>
                <w:rFonts w:ascii="Arial" w:hAnsi="Arial"/>
                <w:b/>
                <w:color w:val="000000"/>
                <w:sz w:val="20"/>
              </w:rPr>
            </w:pPr>
          </w:p>
        </w:tc>
        <w:tc>
          <w:tcPr>
            <w:tcW w:w="1057" w:type="dxa"/>
            <w:tcBorders>
              <w:top w:val="nil"/>
              <w:left w:val="nil"/>
              <w:right w:val="single" w:sz="4" w:space="0" w:color="auto"/>
            </w:tcBorders>
            <w:shd w:val="clear" w:color="auto" w:fill="auto"/>
            <w:vAlign w:val="center"/>
          </w:tcPr>
          <w:p w:rsidR="003B311E" w:rsidRPr="00416514" w:rsidRDefault="003B311E" w:rsidP="000E3C53">
            <w:pPr>
              <w:rPr>
                <w:rFonts w:ascii="Arial" w:hAnsi="Arial"/>
                <w:b/>
                <w:color w:val="000000"/>
                <w:sz w:val="20"/>
              </w:rPr>
            </w:pPr>
          </w:p>
        </w:tc>
        <w:tc>
          <w:tcPr>
            <w:tcW w:w="5917" w:type="dxa"/>
            <w:gridSpan w:val="8"/>
            <w:tcBorders>
              <w:top w:val="single" w:sz="4" w:space="0" w:color="auto"/>
              <w:left w:val="single" w:sz="4" w:space="0" w:color="auto"/>
              <w:right w:val="single" w:sz="4" w:space="0" w:color="auto"/>
            </w:tcBorders>
            <w:shd w:val="pct12" w:color="000000" w:fill="auto"/>
          </w:tcPr>
          <w:p w:rsidR="003B311E" w:rsidRPr="00416514" w:rsidRDefault="003B311E" w:rsidP="000E3C53">
            <w:pPr>
              <w:jc w:val="center"/>
              <w:rPr>
                <w:rFonts w:ascii="Arial" w:hAnsi="Arial" w:cs="Arial"/>
                <w:b/>
                <w:bCs/>
                <w:sz w:val="20"/>
                <w:szCs w:val="20"/>
              </w:rPr>
            </w:pPr>
            <w:r w:rsidRPr="00416514">
              <w:rPr>
                <w:rFonts w:ascii="Arial" w:hAnsi="Arial" w:cs="Arial"/>
                <w:b/>
                <w:bCs/>
                <w:sz w:val="20"/>
                <w:szCs w:val="20"/>
              </w:rPr>
              <w:t>Sözleşme Yılı Sonu İtibarıyla Asgari Hak Kazanma Oranı (%)</w:t>
            </w:r>
          </w:p>
        </w:tc>
      </w:tr>
      <w:tr w:rsidR="003B311E" w:rsidRPr="00416514" w:rsidTr="003B311E">
        <w:trPr>
          <w:trHeight w:val="380"/>
          <w:jc w:val="center"/>
        </w:trPr>
        <w:tc>
          <w:tcPr>
            <w:tcW w:w="1292" w:type="dxa"/>
            <w:tcBorders>
              <w:bottom w:val="single" w:sz="4" w:space="0" w:color="auto"/>
            </w:tcBorders>
            <w:shd w:val="clear" w:color="auto" w:fill="auto"/>
          </w:tcPr>
          <w:p w:rsidR="003B311E" w:rsidRPr="00416514" w:rsidRDefault="003B311E" w:rsidP="000E3C53">
            <w:pPr>
              <w:jc w:val="center"/>
              <w:rPr>
                <w:rFonts w:ascii="Arial" w:hAnsi="Arial"/>
                <w:b/>
                <w:color w:val="000000"/>
                <w:sz w:val="20"/>
              </w:rPr>
            </w:pPr>
          </w:p>
        </w:tc>
        <w:tc>
          <w:tcPr>
            <w:tcW w:w="1057" w:type="dxa"/>
            <w:tcBorders>
              <w:bottom w:val="single" w:sz="4" w:space="0" w:color="auto"/>
              <w:right w:val="single" w:sz="4" w:space="0" w:color="auto"/>
            </w:tcBorders>
            <w:shd w:val="clear" w:color="auto" w:fill="auto"/>
            <w:noWrap/>
            <w:vAlign w:val="center"/>
          </w:tcPr>
          <w:p w:rsidR="003B311E" w:rsidRPr="00416514" w:rsidRDefault="003B311E" w:rsidP="000E3C53">
            <w:pPr>
              <w:jc w:val="center"/>
              <w:rPr>
                <w:rFonts w:ascii="Arial" w:hAnsi="Arial"/>
                <w:b/>
                <w:color w:val="000000"/>
                <w:sz w:val="20"/>
              </w:rPr>
            </w:pPr>
          </w:p>
        </w:tc>
        <w:tc>
          <w:tcPr>
            <w:tcW w:w="656" w:type="dxa"/>
            <w:tcBorders>
              <w:top w:val="single" w:sz="4" w:space="0" w:color="auto"/>
              <w:bottom w:val="single" w:sz="4" w:space="0" w:color="auto"/>
              <w:right w:val="single" w:sz="4" w:space="0" w:color="auto"/>
            </w:tcBorders>
            <w:shd w:val="pct12" w:color="000000" w:fill="auto"/>
          </w:tcPr>
          <w:p w:rsidR="003B311E" w:rsidRPr="00201603" w:rsidRDefault="003B311E" w:rsidP="00574231">
            <w:pPr>
              <w:jc w:val="center"/>
              <w:rPr>
                <w:rFonts w:ascii="Arial" w:hAnsi="Arial" w:cs="Arial"/>
                <w:b/>
                <w:bCs/>
                <w:sz w:val="20"/>
                <w:szCs w:val="20"/>
              </w:rPr>
            </w:pPr>
            <w:r w:rsidRPr="00201603">
              <w:rPr>
                <w:rFonts w:ascii="Arial" w:hAnsi="Arial" w:cs="Arial"/>
                <w:b/>
                <w:bCs/>
                <w:sz w:val="20"/>
                <w:szCs w:val="20"/>
              </w:rPr>
              <w:t>&lt;</w:t>
            </w:r>
            <w:r w:rsidRPr="003B311E">
              <w:rPr>
                <w:rFonts w:ascii="Arial" w:hAnsi="Arial"/>
                <w:b/>
                <w:color w:val="000000"/>
                <w:sz w:val="20"/>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3.</w:t>
            </w:r>
          </w:p>
        </w:tc>
        <w:tc>
          <w:tcPr>
            <w:tcW w:w="893" w:type="dxa"/>
            <w:tcBorders>
              <w:top w:val="single" w:sz="4" w:space="0" w:color="auto"/>
              <w:left w:val="nil"/>
              <w:bottom w:val="single" w:sz="8" w:space="0" w:color="auto"/>
              <w:right w:val="single" w:sz="8"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4.</w:t>
            </w:r>
          </w:p>
        </w:tc>
        <w:tc>
          <w:tcPr>
            <w:tcW w:w="781" w:type="dxa"/>
            <w:tcBorders>
              <w:top w:val="single" w:sz="4" w:space="0" w:color="auto"/>
              <w:left w:val="nil"/>
              <w:bottom w:val="single" w:sz="8" w:space="0" w:color="auto"/>
              <w:right w:val="single" w:sz="8"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5.</w:t>
            </w:r>
          </w:p>
        </w:tc>
        <w:tc>
          <w:tcPr>
            <w:tcW w:w="781" w:type="dxa"/>
            <w:tcBorders>
              <w:top w:val="single" w:sz="4" w:space="0" w:color="auto"/>
              <w:left w:val="nil"/>
              <w:bottom w:val="single" w:sz="8" w:space="0" w:color="auto"/>
              <w:right w:val="single" w:sz="8"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6.</w:t>
            </w:r>
          </w:p>
        </w:tc>
        <w:tc>
          <w:tcPr>
            <w:tcW w:w="697" w:type="dxa"/>
            <w:tcBorders>
              <w:top w:val="single" w:sz="4" w:space="0" w:color="auto"/>
              <w:left w:val="nil"/>
              <w:bottom w:val="single" w:sz="8" w:space="0" w:color="auto"/>
              <w:right w:val="single" w:sz="8" w:space="0" w:color="auto"/>
            </w:tcBorders>
            <w:shd w:val="pct12" w:color="000000" w:fill="auto"/>
            <w:noWrap/>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7.</w:t>
            </w:r>
          </w:p>
        </w:tc>
      </w:tr>
      <w:tr w:rsidR="003B311E" w:rsidRPr="00416514" w:rsidTr="003B311E">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rsidR="003B311E" w:rsidRPr="00416514" w:rsidRDefault="003B311E" w:rsidP="000E3C53">
            <w:pPr>
              <w:jc w:val="center"/>
              <w:rPr>
                <w:rFonts w:ascii="Arial" w:hAnsi="Arial"/>
                <w:b/>
                <w:color w:val="000000"/>
                <w:sz w:val="20"/>
              </w:rPr>
            </w:pPr>
            <w:r w:rsidRPr="00416514">
              <w:rPr>
                <w:rFonts w:ascii="Arial" w:hAnsi="Arial"/>
                <w:b/>
                <w:color w:val="000000"/>
                <w:sz w:val="20"/>
              </w:rPr>
              <w:t>Sözleşmede Belirlenen Hak Kazanma Süresi</w:t>
            </w:r>
          </w:p>
          <w:p w:rsidR="003B311E" w:rsidRPr="00416514" w:rsidRDefault="003B311E" w:rsidP="000E3C53">
            <w:pPr>
              <w:jc w:val="center"/>
              <w:rPr>
                <w:rFonts w:ascii="Arial" w:hAnsi="Arial" w:cs="Arial"/>
                <w:b/>
                <w:bCs/>
                <w:color w:val="000000"/>
                <w:sz w:val="20"/>
                <w:szCs w:val="20"/>
              </w:rPr>
            </w:pPr>
            <w:r w:rsidRPr="00416514">
              <w:rPr>
                <w:rFonts w:ascii="Arial" w:hAnsi="Arial"/>
                <w:b/>
                <w:color w:val="000000"/>
                <w:sz w:val="20"/>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416514" w:rsidRDefault="003B311E" w:rsidP="000E3C53">
            <w:pPr>
              <w:tabs>
                <w:tab w:val="left" w:pos="113"/>
                <w:tab w:val="left" w:pos="395"/>
              </w:tabs>
              <w:ind w:right="6"/>
              <w:jc w:val="center"/>
              <w:rPr>
                <w:rFonts w:ascii="Arial" w:hAnsi="Arial" w:cs="Arial"/>
                <w:b/>
                <w:bCs/>
                <w:color w:val="000000"/>
                <w:sz w:val="20"/>
                <w:szCs w:val="20"/>
              </w:rPr>
            </w:pPr>
            <w:r w:rsidRPr="00416514">
              <w:rPr>
                <w:rFonts w:ascii="Arial" w:hAnsi="Arial" w:cs="Arial"/>
                <w:b/>
                <w:bCs/>
                <w:color w:val="000000"/>
                <w:sz w:val="20"/>
                <w:szCs w:val="20"/>
              </w:rPr>
              <w:t>0</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cs="Arial"/>
                <w:sz w:val="20"/>
                <w:szCs w:val="20"/>
              </w:rPr>
            </w:pPr>
            <w:r w:rsidRPr="00201603">
              <w:rPr>
                <w:rFonts w:ascii="Arial" w:hAnsi="Arial" w:cs="Arial"/>
                <w:sz w:val="20"/>
                <w:szCs w:val="20"/>
              </w:rPr>
              <w:t>100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vAlign w:val="center"/>
          </w:tcPr>
          <w:p w:rsidR="003B311E" w:rsidRPr="0041651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416514" w:rsidRDefault="003B311E" w:rsidP="000E3C53">
            <w:pPr>
              <w:tabs>
                <w:tab w:val="left" w:pos="113"/>
                <w:tab w:val="left" w:pos="395"/>
              </w:tabs>
              <w:ind w:right="6"/>
              <w:jc w:val="center"/>
              <w:rPr>
                <w:rFonts w:ascii="Arial" w:hAnsi="Arial"/>
                <w:b/>
                <w:color w:val="000000"/>
                <w:sz w:val="20"/>
              </w:rPr>
            </w:pPr>
            <w:r w:rsidRPr="00416514">
              <w:rPr>
                <w:rFonts w:ascii="Arial" w:hAnsi="Arial"/>
                <w:b/>
                <w:color w:val="000000"/>
                <w:sz w:val="20"/>
              </w:rPr>
              <w:tab/>
              <w:t>1</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cs="Arial"/>
                <w:sz w:val="20"/>
                <w:szCs w:val="20"/>
              </w:rPr>
            </w:pPr>
            <w:r w:rsidRPr="00201603">
              <w:rPr>
                <w:rFonts w:ascii="Arial" w:hAnsi="Arial" w:cs="Arial"/>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2</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s="Arial"/>
                <w:color w:val="000000"/>
                <w:sz w:val="20"/>
                <w:szCs w:val="20"/>
              </w:rPr>
            </w:pPr>
            <w:r w:rsidRPr="003864D8">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3</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olor w:val="000000"/>
                <w:sz w:val="20"/>
              </w:rPr>
            </w:pPr>
            <w:r w:rsidRPr="003864D8">
              <w:rPr>
                <w:rFonts w:ascii="Arial" w:hAnsi="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r w:rsidRPr="00416514">
              <w:rPr>
                <w:rFonts w:ascii="Arial" w:hAnsi="Arial" w:cs="Arial"/>
                <w:color w:val="00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4</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olor w:val="000000"/>
                <w:sz w:val="20"/>
              </w:rPr>
            </w:pPr>
            <w:r w:rsidRPr="003864D8">
              <w:rPr>
                <w:rFonts w:ascii="Arial" w:hAnsi="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r w:rsidRPr="00416514">
              <w:rPr>
                <w:rFonts w:ascii="Arial" w:hAnsi="Arial" w:cs="Arial"/>
                <w:color w:val="00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75</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5</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olor w:val="000000"/>
                <w:sz w:val="20"/>
              </w:rPr>
            </w:pPr>
            <w:r w:rsidRPr="003864D8">
              <w:rPr>
                <w:rFonts w:ascii="Arial" w:hAnsi="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r w:rsidRPr="00416514">
              <w:rPr>
                <w:rFonts w:ascii="Arial" w:hAnsi="Arial" w:cs="Arial"/>
                <w:color w:val="00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60</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80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r>
      <w:tr w:rsidR="003B311E" w:rsidRPr="00416514" w:rsidTr="003B311E">
        <w:trPr>
          <w:trHeight w:val="257"/>
          <w:jc w:val="center"/>
        </w:trPr>
        <w:tc>
          <w:tcPr>
            <w:tcW w:w="1292" w:type="dxa"/>
            <w:vMerge/>
            <w:tcBorders>
              <w:left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6</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olor w:val="000000"/>
                <w:sz w:val="20"/>
              </w:rPr>
            </w:pPr>
            <w:r w:rsidRPr="003864D8">
              <w:rPr>
                <w:rFonts w:ascii="Arial" w:hAnsi="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r w:rsidRPr="00416514">
              <w:rPr>
                <w:rFonts w:ascii="Arial" w:hAnsi="Arial" w:cs="Arial"/>
                <w:color w:val="00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60</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70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80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 </w:t>
            </w:r>
          </w:p>
        </w:tc>
      </w:tr>
      <w:tr w:rsidR="003B311E" w:rsidRPr="00416514" w:rsidTr="003B311E">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rsidR="003B311E" w:rsidRPr="007F5154" w:rsidRDefault="003B311E" w:rsidP="000E3C53">
            <w:pPr>
              <w:jc w:val="center"/>
              <w:rPr>
                <w:rFonts w:ascii="Arial" w:hAnsi="Arial"/>
                <w:b/>
                <w:color w:val="000000"/>
                <w:sz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3B311E" w:rsidRPr="007F5154" w:rsidRDefault="003B311E" w:rsidP="000E3C53">
            <w:pPr>
              <w:tabs>
                <w:tab w:val="left" w:pos="395"/>
              </w:tabs>
              <w:ind w:right="6"/>
              <w:jc w:val="center"/>
              <w:rPr>
                <w:rFonts w:ascii="Arial" w:hAnsi="Arial"/>
                <w:b/>
                <w:color w:val="000000"/>
                <w:sz w:val="20"/>
              </w:rPr>
            </w:pPr>
            <w:r w:rsidRPr="007F5154">
              <w:rPr>
                <w:rFonts w:ascii="Arial" w:hAnsi="Arial"/>
                <w:b/>
                <w:color w:val="000000"/>
                <w:sz w:val="20"/>
              </w:rPr>
              <w:t>7</w:t>
            </w:r>
          </w:p>
        </w:tc>
        <w:tc>
          <w:tcPr>
            <w:tcW w:w="656" w:type="dxa"/>
            <w:tcBorders>
              <w:top w:val="nil"/>
              <w:left w:val="single" w:sz="4" w:space="0" w:color="auto"/>
              <w:bottom w:val="single" w:sz="8" w:space="0" w:color="auto"/>
              <w:right w:val="single" w:sz="4" w:space="0" w:color="auto"/>
            </w:tcBorders>
          </w:tcPr>
          <w:p w:rsidR="003B311E" w:rsidRPr="00201603" w:rsidRDefault="003B311E" w:rsidP="00574231">
            <w:pPr>
              <w:jc w:val="center"/>
              <w:rPr>
                <w:rFonts w:ascii="Arial" w:hAnsi="Arial"/>
                <w:sz w:val="20"/>
              </w:rPr>
            </w:pPr>
            <w:r w:rsidRPr="00201603">
              <w:rPr>
                <w:rFonts w:ascii="Arial" w:hAnsi="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3B311E" w:rsidRPr="00770EAF" w:rsidRDefault="003B311E" w:rsidP="000E3C53">
            <w:pPr>
              <w:jc w:val="center"/>
              <w:rPr>
                <w:rFonts w:ascii="Arial" w:hAnsi="Arial"/>
                <w:color w:val="000000"/>
                <w:sz w:val="20"/>
              </w:rPr>
            </w:pPr>
            <w:r w:rsidRPr="003864D8">
              <w:rPr>
                <w:rFonts w:ascii="Arial" w:hAnsi="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s="Arial"/>
                <w:color w:val="000000"/>
                <w:sz w:val="20"/>
                <w:szCs w:val="20"/>
              </w:rPr>
            </w:pPr>
            <w:r w:rsidRPr="00416514">
              <w:rPr>
                <w:rFonts w:ascii="Arial" w:hAnsi="Arial" w:cs="Arial"/>
                <w:color w:val="00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50</w:t>
            </w:r>
          </w:p>
        </w:tc>
        <w:tc>
          <w:tcPr>
            <w:tcW w:w="893"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60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70</w:t>
            </w:r>
          </w:p>
        </w:tc>
        <w:tc>
          <w:tcPr>
            <w:tcW w:w="781"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80</w:t>
            </w:r>
          </w:p>
        </w:tc>
        <w:tc>
          <w:tcPr>
            <w:tcW w:w="697" w:type="dxa"/>
            <w:tcBorders>
              <w:top w:val="nil"/>
              <w:left w:val="nil"/>
              <w:bottom w:val="single" w:sz="8" w:space="0" w:color="auto"/>
              <w:right w:val="single" w:sz="8" w:space="0" w:color="auto"/>
            </w:tcBorders>
            <w:shd w:val="clear" w:color="auto" w:fill="auto"/>
            <w:noWrap/>
            <w:vAlign w:val="center"/>
          </w:tcPr>
          <w:p w:rsidR="003B311E" w:rsidRPr="00416514" w:rsidRDefault="003B311E" w:rsidP="000E3C53">
            <w:pPr>
              <w:jc w:val="center"/>
              <w:rPr>
                <w:rFonts w:ascii="Arial" w:hAnsi="Arial"/>
                <w:color w:val="000000"/>
                <w:sz w:val="20"/>
              </w:rPr>
            </w:pPr>
            <w:r w:rsidRPr="00416514">
              <w:rPr>
                <w:rFonts w:ascii="Arial" w:hAnsi="Arial"/>
                <w:color w:val="000000"/>
                <w:sz w:val="20"/>
              </w:rPr>
              <w:t>100</w:t>
            </w:r>
          </w:p>
        </w:tc>
      </w:tr>
    </w:tbl>
    <w:p w:rsidR="00BF542B" w:rsidRPr="00416514" w:rsidRDefault="00BF542B" w:rsidP="00BF542B">
      <w:pPr>
        <w:ind w:firstLine="720"/>
        <w:rPr>
          <w:rFonts w:ascii="Arial" w:hAnsi="Arial" w:cs="Arial"/>
          <w:b/>
          <w:sz w:val="20"/>
          <w:szCs w:val="20"/>
        </w:rPr>
      </w:pPr>
      <w:r w:rsidRPr="00416514">
        <w:rPr>
          <w:rFonts w:ascii="Arial" w:hAnsi="Arial" w:cs="Arial"/>
          <w:b/>
          <w:sz w:val="20"/>
          <w:szCs w:val="20"/>
        </w:rPr>
        <w:t xml:space="preserve"> </w:t>
      </w:r>
    </w:p>
    <w:p w:rsidR="00BF542B" w:rsidRPr="00416514" w:rsidRDefault="00BF542B" w:rsidP="00BF542B">
      <w:pPr>
        <w:rPr>
          <w:rFonts w:ascii="Arial" w:hAnsi="Arial" w:cs="Arial"/>
          <w:b/>
          <w:sz w:val="20"/>
          <w:szCs w:val="20"/>
        </w:rPr>
        <w:sectPr w:rsidR="00BF542B" w:rsidRPr="00416514" w:rsidSect="00A71B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F542B" w:rsidRPr="00416514" w:rsidRDefault="00BF542B" w:rsidP="00BF542B">
      <w:pPr>
        <w:ind w:left="3528" w:firstLine="720"/>
        <w:jc w:val="right"/>
        <w:rPr>
          <w:rFonts w:ascii="Arial" w:hAnsi="Arial" w:cs="Arial"/>
          <w:b/>
          <w:sz w:val="20"/>
          <w:szCs w:val="20"/>
        </w:rPr>
      </w:pPr>
      <w:r w:rsidRPr="00416514">
        <w:rPr>
          <w:rFonts w:ascii="Arial" w:hAnsi="Arial" w:cs="Arial"/>
          <w:b/>
          <w:sz w:val="20"/>
          <w:szCs w:val="20"/>
        </w:rPr>
        <w:lastRenderedPageBreak/>
        <w:t>Ek-2</w:t>
      </w:r>
    </w:p>
    <w:p w:rsidR="00BF542B" w:rsidRPr="00D264BD" w:rsidRDefault="00BF542B" w:rsidP="00BF542B">
      <w:pPr>
        <w:spacing w:before="100" w:beforeAutospacing="1" w:after="100" w:afterAutospacing="1"/>
        <w:contextualSpacing/>
        <w:jc w:val="center"/>
        <w:rPr>
          <w:rFonts w:ascii="Arial" w:hAnsi="Arial" w:cs="Arial"/>
          <w:b/>
          <w:sz w:val="20"/>
          <w:szCs w:val="20"/>
        </w:rPr>
      </w:pPr>
      <w:r w:rsidRPr="00D264BD">
        <w:rPr>
          <w:rFonts w:ascii="Arial" w:hAnsi="Arial" w:cs="Arial"/>
          <w:b/>
          <w:sz w:val="20"/>
          <w:szCs w:val="20"/>
        </w:rPr>
        <w:t xml:space="preserve">Azami Fon Toplam Gider Kesintisi Oranları </w:t>
      </w:r>
    </w:p>
    <w:p w:rsidR="00BF542B" w:rsidRPr="00D264BD" w:rsidRDefault="00BF542B" w:rsidP="00BF542B">
      <w:pPr>
        <w:rPr>
          <w:rFonts w:ascii="Arial" w:hAnsi="Arial" w:cs="Arial"/>
          <w:b/>
          <w:sz w:val="20"/>
          <w:szCs w:val="20"/>
        </w:rPr>
      </w:pPr>
    </w:p>
    <w:tbl>
      <w:tblPr>
        <w:tblpPr w:leftFromText="141" w:rightFromText="141" w:vertAnchor="page" w:horzAnchor="margin" w:tblpXSpec="center"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BF542B" w:rsidRPr="00416514" w:rsidTr="000E3C53">
        <w:trPr>
          <w:trHeight w:val="1125"/>
        </w:trPr>
        <w:tc>
          <w:tcPr>
            <w:tcW w:w="840" w:type="dxa"/>
            <w:tcBorders>
              <w:bottom w:val="single" w:sz="4" w:space="0" w:color="auto"/>
            </w:tcBorders>
            <w:shd w:val="pct25" w:color="auto" w:fill="auto"/>
            <w:vAlign w:val="center"/>
          </w:tcPr>
          <w:p w:rsidR="00BF542B" w:rsidRPr="00D264BD" w:rsidRDefault="00BF542B" w:rsidP="000E3C53">
            <w:pPr>
              <w:rPr>
                <w:rFonts w:ascii="Arial" w:eastAsia="Calibri" w:hAnsi="Arial" w:cs="Arial"/>
                <w:b/>
                <w:sz w:val="20"/>
                <w:szCs w:val="20"/>
              </w:rPr>
            </w:pPr>
            <w:r w:rsidRPr="00D264BD">
              <w:rPr>
                <w:rFonts w:ascii="Arial" w:eastAsia="Calibri" w:hAnsi="Arial" w:cs="Arial"/>
                <w:b/>
                <w:sz w:val="20"/>
                <w:szCs w:val="20"/>
              </w:rPr>
              <w:t>Grup*</w:t>
            </w:r>
          </w:p>
        </w:tc>
        <w:tc>
          <w:tcPr>
            <w:tcW w:w="4659" w:type="dxa"/>
            <w:shd w:val="pct25" w:color="auto" w:fill="auto"/>
            <w:vAlign w:val="center"/>
          </w:tcPr>
          <w:p w:rsidR="00BF542B" w:rsidRPr="00D264BD" w:rsidRDefault="00BF542B" w:rsidP="000E3C53">
            <w:pPr>
              <w:jc w:val="center"/>
              <w:rPr>
                <w:rFonts w:ascii="Arial" w:eastAsia="Calibri" w:hAnsi="Arial" w:cs="Arial"/>
                <w:b/>
                <w:sz w:val="20"/>
                <w:szCs w:val="20"/>
              </w:rPr>
            </w:pPr>
            <w:r w:rsidRPr="00D264BD">
              <w:rPr>
                <w:rFonts w:ascii="Arial" w:eastAsia="Calibri" w:hAnsi="Arial" w:cs="Arial"/>
                <w:b/>
                <w:sz w:val="20"/>
                <w:szCs w:val="20"/>
              </w:rPr>
              <w:t>Emeklilik Yatırım Fonları</w:t>
            </w:r>
          </w:p>
        </w:tc>
        <w:tc>
          <w:tcPr>
            <w:tcW w:w="1980" w:type="dxa"/>
            <w:shd w:val="pct25" w:color="auto" w:fill="auto"/>
            <w:vAlign w:val="center"/>
          </w:tcPr>
          <w:p w:rsidR="00BF542B" w:rsidRPr="00D264BD" w:rsidRDefault="00BF542B" w:rsidP="000E3C53">
            <w:pPr>
              <w:jc w:val="center"/>
              <w:rPr>
                <w:rFonts w:ascii="Arial" w:eastAsia="Calibri" w:hAnsi="Arial" w:cs="Arial"/>
                <w:b/>
                <w:sz w:val="20"/>
                <w:szCs w:val="20"/>
              </w:rPr>
            </w:pPr>
            <w:r w:rsidRPr="00D264BD">
              <w:rPr>
                <w:rFonts w:ascii="Arial" w:eastAsia="Calibri" w:hAnsi="Arial" w:cs="Arial"/>
                <w:b/>
                <w:sz w:val="20"/>
                <w:szCs w:val="20"/>
              </w:rPr>
              <w:t>Azami günlük oran</w:t>
            </w:r>
          </w:p>
        </w:tc>
        <w:tc>
          <w:tcPr>
            <w:tcW w:w="1843" w:type="dxa"/>
            <w:shd w:val="pct25" w:color="auto" w:fill="auto"/>
          </w:tcPr>
          <w:p w:rsidR="00BF542B" w:rsidRPr="00416514" w:rsidRDefault="00BF542B" w:rsidP="000E3C53">
            <w:pPr>
              <w:jc w:val="center"/>
              <w:rPr>
                <w:rFonts w:ascii="Arial" w:eastAsia="Calibri" w:hAnsi="Arial" w:cs="Arial"/>
                <w:b/>
                <w:sz w:val="20"/>
                <w:szCs w:val="20"/>
              </w:rPr>
            </w:pPr>
            <w:r w:rsidRPr="00D264BD">
              <w:rPr>
                <w:rFonts w:ascii="Arial" w:eastAsia="Calibri" w:hAnsi="Arial" w:cs="Arial"/>
                <w:b/>
                <w:sz w:val="20"/>
                <w:szCs w:val="20"/>
              </w:rPr>
              <w:t>Azami yıllık oran (%)</w:t>
            </w:r>
          </w:p>
        </w:tc>
      </w:tr>
      <w:tr w:rsidR="00BF542B" w:rsidRPr="00416514" w:rsidTr="003F7921">
        <w:trPr>
          <w:trHeight w:val="844"/>
        </w:trPr>
        <w:tc>
          <w:tcPr>
            <w:tcW w:w="840" w:type="dxa"/>
            <w:shd w:val="pct25" w:color="auto" w:fill="auto"/>
            <w:vAlign w:val="center"/>
          </w:tcPr>
          <w:p w:rsidR="00BF542B" w:rsidRPr="00416514" w:rsidRDefault="00BF542B" w:rsidP="000E3C53">
            <w:pPr>
              <w:rPr>
                <w:rFonts w:ascii="Arial" w:eastAsia="Calibri" w:hAnsi="Arial" w:cs="Arial"/>
                <w:sz w:val="20"/>
                <w:szCs w:val="20"/>
              </w:rPr>
            </w:pPr>
            <w:r w:rsidRPr="00416514">
              <w:rPr>
                <w:rFonts w:ascii="Arial" w:eastAsia="Calibri" w:hAnsi="Arial" w:cs="Arial"/>
                <w:b/>
                <w:sz w:val="20"/>
                <w:szCs w:val="20"/>
              </w:rPr>
              <w:t>I</w:t>
            </w:r>
          </w:p>
        </w:tc>
        <w:tc>
          <w:tcPr>
            <w:tcW w:w="4659" w:type="dxa"/>
            <w:shd w:val="clear" w:color="auto" w:fill="auto"/>
            <w:vAlign w:val="center"/>
          </w:tcPr>
          <w:p w:rsidR="00BF542B" w:rsidRPr="00416514" w:rsidRDefault="00BF542B" w:rsidP="00AA46BF">
            <w:pPr>
              <w:spacing w:after="0"/>
              <w:rPr>
                <w:rFonts w:ascii="Arial" w:eastAsia="Calibri" w:hAnsi="Arial" w:cs="Arial"/>
                <w:sz w:val="20"/>
                <w:szCs w:val="20"/>
              </w:rPr>
            </w:pPr>
            <w:r w:rsidRPr="00416514">
              <w:rPr>
                <w:rFonts w:ascii="Arial" w:eastAsia="Calibri" w:hAnsi="Arial" w:cs="Arial"/>
                <w:sz w:val="20"/>
                <w:szCs w:val="20"/>
              </w:rPr>
              <w:t>Para Piyasası Fonları</w:t>
            </w:r>
          </w:p>
          <w:p w:rsidR="00BF542B" w:rsidRPr="00416514" w:rsidRDefault="00BF542B" w:rsidP="00AA46BF">
            <w:pPr>
              <w:numPr>
                <w:ilvl w:val="0"/>
                <w:numId w:val="1"/>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Kıymetli Madenler Fonu</w:t>
            </w:r>
          </w:p>
          <w:p w:rsidR="00BF542B" w:rsidRPr="00416514" w:rsidRDefault="00BF542B" w:rsidP="003F7921">
            <w:pPr>
              <w:spacing w:after="0"/>
              <w:rPr>
                <w:rFonts w:ascii="Arial" w:eastAsia="Calibri" w:hAnsi="Arial" w:cs="Arial"/>
                <w:sz w:val="20"/>
                <w:szCs w:val="20"/>
              </w:rPr>
            </w:pPr>
          </w:p>
        </w:tc>
        <w:tc>
          <w:tcPr>
            <w:tcW w:w="1980" w:type="dxa"/>
            <w:shd w:val="clear" w:color="auto" w:fill="auto"/>
            <w:vAlign w:val="center"/>
          </w:tcPr>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 xml:space="preserve">Yüz binde 3 </w:t>
            </w:r>
          </w:p>
        </w:tc>
        <w:tc>
          <w:tcPr>
            <w:tcW w:w="1843" w:type="dxa"/>
          </w:tcPr>
          <w:p w:rsidR="00BF542B" w:rsidRPr="00416514" w:rsidRDefault="00BF542B" w:rsidP="000E3C53">
            <w:pPr>
              <w:rPr>
                <w:rFonts w:ascii="Arial" w:eastAsia="Calibri" w:hAnsi="Arial" w:cs="Arial"/>
                <w:sz w:val="20"/>
                <w:szCs w:val="20"/>
              </w:rPr>
            </w:pPr>
          </w:p>
          <w:p w:rsidR="00BF542B" w:rsidRPr="00416514" w:rsidRDefault="00BF542B" w:rsidP="003F7921">
            <w:pPr>
              <w:jc w:val="center"/>
              <w:rPr>
                <w:rFonts w:ascii="Arial" w:eastAsia="Calibri" w:hAnsi="Arial" w:cs="Arial"/>
                <w:sz w:val="20"/>
                <w:szCs w:val="20"/>
              </w:rPr>
            </w:pPr>
            <w:r w:rsidRPr="00416514">
              <w:rPr>
                <w:rFonts w:ascii="Arial" w:eastAsia="Calibri" w:hAnsi="Arial" w:cs="Arial"/>
                <w:sz w:val="20"/>
                <w:szCs w:val="20"/>
              </w:rPr>
              <w:t>1,09</w:t>
            </w:r>
          </w:p>
        </w:tc>
      </w:tr>
      <w:tr w:rsidR="00BF542B" w:rsidRPr="00416514" w:rsidTr="003F7921">
        <w:trPr>
          <w:trHeight w:val="1467"/>
        </w:trPr>
        <w:tc>
          <w:tcPr>
            <w:tcW w:w="840" w:type="dxa"/>
            <w:shd w:val="pct25" w:color="auto" w:fill="auto"/>
            <w:vAlign w:val="center"/>
          </w:tcPr>
          <w:p w:rsidR="00BF542B" w:rsidRPr="00416514" w:rsidRDefault="00BF542B" w:rsidP="000E3C53">
            <w:pPr>
              <w:jc w:val="center"/>
              <w:rPr>
                <w:rFonts w:ascii="Arial" w:eastAsia="Calibri" w:hAnsi="Arial" w:cs="Arial"/>
                <w:sz w:val="20"/>
                <w:szCs w:val="20"/>
              </w:rPr>
            </w:pPr>
            <w:r w:rsidRPr="00416514">
              <w:rPr>
                <w:rFonts w:ascii="Arial" w:eastAsia="Calibri" w:hAnsi="Arial" w:cs="Arial"/>
                <w:b/>
                <w:sz w:val="20"/>
                <w:szCs w:val="20"/>
              </w:rPr>
              <w:t>II</w:t>
            </w:r>
          </w:p>
        </w:tc>
        <w:tc>
          <w:tcPr>
            <w:tcW w:w="4659" w:type="dxa"/>
            <w:shd w:val="clear" w:color="auto" w:fill="auto"/>
            <w:vAlign w:val="center"/>
          </w:tcPr>
          <w:p w:rsidR="00BF542B" w:rsidRPr="00416514" w:rsidRDefault="00BF542B" w:rsidP="003F7921">
            <w:pPr>
              <w:spacing w:after="0" w:line="240" w:lineRule="auto"/>
              <w:contextualSpacing/>
              <w:rPr>
                <w:rFonts w:ascii="Arial" w:eastAsia="Calibri" w:hAnsi="Arial" w:cs="Arial"/>
                <w:sz w:val="20"/>
                <w:szCs w:val="20"/>
              </w:rPr>
            </w:pPr>
            <w:r>
              <w:rPr>
                <w:rFonts w:ascii="Arial" w:eastAsia="Calibri" w:hAnsi="Arial" w:cs="Arial"/>
                <w:sz w:val="20"/>
                <w:szCs w:val="20"/>
              </w:rPr>
              <w:t>Borçlanma Araçları Fonu</w:t>
            </w:r>
          </w:p>
          <w:p w:rsidR="00BF542B" w:rsidRPr="00416514" w:rsidRDefault="00BF542B" w:rsidP="000E3C53">
            <w:pPr>
              <w:numPr>
                <w:ilvl w:val="0"/>
                <w:numId w:val="2"/>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Standart Fon</w:t>
            </w:r>
          </w:p>
          <w:p w:rsidR="00BF542B" w:rsidRPr="00416514" w:rsidRDefault="00BF542B" w:rsidP="000E3C53">
            <w:pPr>
              <w:numPr>
                <w:ilvl w:val="0"/>
                <w:numId w:val="2"/>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Endeks Fonu</w:t>
            </w:r>
          </w:p>
          <w:p w:rsidR="00BF542B" w:rsidRPr="00416514" w:rsidRDefault="00BF542B" w:rsidP="00874F50">
            <w:pPr>
              <w:numPr>
                <w:ilvl w:val="0"/>
                <w:numId w:val="2"/>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 xml:space="preserve">Yüz binde </w:t>
            </w:r>
          </w:p>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5,25</w:t>
            </w:r>
          </w:p>
        </w:tc>
        <w:tc>
          <w:tcPr>
            <w:tcW w:w="1843" w:type="dxa"/>
          </w:tcPr>
          <w:p w:rsidR="00BF542B" w:rsidRPr="00416514" w:rsidRDefault="00BF542B" w:rsidP="000E3C53">
            <w:pPr>
              <w:jc w:val="center"/>
              <w:rPr>
                <w:rFonts w:ascii="Arial" w:eastAsia="Calibri" w:hAnsi="Arial" w:cs="Arial"/>
                <w:sz w:val="20"/>
                <w:szCs w:val="20"/>
              </w:rPr>
            </w:pPr>
          </w:p>
          <w:p w:rsidR="003F7921" w:rsidRDefault="003F7921" w:rsidP="003F7921">
            <w:pPr>
              <w:rPr>
                <w:rFonts w:ascii="Arial" w:eastAsia="Calibri" w:hAnsi="Arial" w:cs="Arial"/>
                <w:sz w:val="20"/>
                <w:szCs w:val="20"/>
              </w:rPr>
            </w:pPr>
          </w:p>
          <w:p w:rsidR="00BF542B" w:rsidRPr="00416514" w:rsidRDefault="00BF542B" w:rsidP="003F7921">
            <w:pPr>
              <w:jc w:val="center"/>
              <w:rPr>
                <w:rFonts w:ascii="Arial" w:eastAsia="Calibri" w:hAnsi="Arial" w:cs="Arial"/>
                <w:sz w:val="20"/>
                <w:szCs w:val="20"/>
              </w:rPr>
            </w:pPr>
            <w:r w:rsidRPr="00416514">
              <w:rPr>
                <w:rFonts w:ascii="Arial" w:eastAsia="Calibri" w:hAnsi="Arial" w:cs="Arial"/>
                <w:sz w:val="20"/>
                <w:szCs w:val="20"/>
              </w:rPr>
              <w:t>1,91</w:t>
            </w:r>
          </w:p>
        </w:tc>
      </w:tr>
      <w:tr w:rsidR="00BF542B" w:rsidRPr="00416514" w:rsidTr="000E3C53">
        <w:trPr>
          <w:trHeight w:val="1987"/>
        </w:trPr>
        <w:tc>
          <w:tcPr>
            <w:tcW w:w="840" w:type="dxa"/>
            <w:shd w:val="pct25" w:color="auto" w:fill="auto"/>
            <w:vAlign w:val="center"/>
          </w:tcPr>
          <w:p w:rsidR="00BF542B" w:rsidRPr="00416514" w:rsidRDefault="00BF542B" w:rsidP="000E3C53">
            <w:pPr>
              <w:jc w:val="center"/>
              <w:rPr>
                <w:rFonts w:ascii="Arial" w:eastAsia="Calibri" w:hAnsi="Arial" w:cs="Arial"/>
                <w:b/>
                <w:sz w:val="20"/>
                <w:szCs w:val="20"/>
              </w:rPr>
            </w:pPr>
            <w:r w:rsidRPr="00416514">
              <w:rPr>
                <w:rFonts w:ascii="Arial" w:eastAsia="Calibri" w:hAnsi="Arial" w:cs="Arial"/>
                <w:b/>
                <w:sz w:val="20"/>
                <w:szCs w:val="20"/>
              </w:rPr>
              <w:t>III</w:t>
            </w:r>
          </w:p>
        </w:tc>
        <w:tc>
          <w:tcPr>
            <w:tcW w:w="4659" w:type="dxa"/>
            <w:shd w:val="clear" w:color="auto" w:fill="auto"/>
            <w:vAlign w:val="center"/>
          </w:tcPr>
          <w:p w:rsidR="00BF542B" w:rsidRDefault="00BF542B" w:rsidP="003F7921">
            <w:pPr>
              <w:spacing w:after="0" w:line="240" w:lineRule="auto"/>
              <w:contextualSpacing/>
              <w:rPr>
                <w:rFonts w:ascii="Arial" w:eastAsia="Calibri" w:hAnsi="Arial" w:cs="Arial"/>
                <w:sz w:val="20"/>
                <w:szCs w:val="20"/>
              </w:rPr>
            </w:pPr>
            <w:r w:rsidRPr="00416514">
              <w:rPr>
                <w:rFonts w:ascii="Arial" w:eastAsia="Calibri" w:hAnsi="Arial" w:cs="Arial"/>
                <w:sz w:val="20"/>
                <w:szCs w:val="20"/>
              </w:rPr>
              <w:t>Hisse Senedi Fonu</w:t>
            </w:r>
          </w:p>
          <w:p w:rsidR="00BF542B" w:rsidRPr="00416514" w:rsidRDefault="00BF542B" w:rsidP="000E3C53">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Katılım Fonu</w:t>
            </w:r>
          </w:p>
          <w:p w:rsidR="00BF542B" w:rsidRPr="00416514" w:rsidRDefault="00BF542B" w:rsidP="000E3C53">
            <w:pPr>
              <w:numPr>
                <w:ilvl w:val="0"/>
                <w:numId w:val="3"/>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Karma Fon</w:t>
            </w:r>
          </w:p>
          <w:p w:rsidR="00BF542B" w:rsidRDefault="00BF542B" w:rsidP="000E3C53">
            <w:pPr>
              <w:numPr>
                <w:ilvl w:val="0"/>
                <w:numId w:val="3"/>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Fon Sepeti Fonu</w:t>
            </w:r>
          </w:p>
          <w:p w:rsidR="00BF542B" w:rsidRDefault="00BF542B" w:rsidP="000E3C53">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Değişken Fon</w:t>
            </w:r>
          </w:p>
          <w:p w:rsidR="00BF542B" w:rsidRDefault="00BF542B" w:rsidP="000E3C53">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Yaşam Döngüsü/Hedef Fon</w:t>
            </w:r>
          </w:p>
          <w:p w:rsidR="009A5D7B" w:rsidRPr="00416514" w:rsidRDefault="009A5D7B" w:rsidP="000E3C53">
            <w:pPr>
              <w:numPr>
                <w:ilvl w:val="0"/>
                <w:numId w:val="3"/>
              </w:numPr>
              <w:spacing w:after="0" w:line="240" w:lineRule="auto"/>
              <w:ind w:left="0"/>
              <w:contextualSpacing/>
              <w:rPr>
                <w:rFonts w:ascii="Arial" w:eastAsia="Calibri" w:hAnsi="Arial" w:cs="Arial"/>
                <w:sz w:val="20"/>
                <w:szCs w:val="20"/>
              </w:rPr>
            </w:pPr>
          </w:p>
          <w:p w:rsidR="00BF542B" w:rsidRPr="00416514" w:rsidRDefault="00BF542B" w:rsidP="000E3C53">
            <w:pPr>
              <w:numPr>
                <w:ilvl w:val="0"/>
                <w:numId w:val="3"/>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 xml:space="preserve">Yüz binde </w:t>
            </w:r>
          </w:p>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6,25</w:t>
            </w:r>
          </w:p>
        </w:tc>
        <w:tc>
          <w:tcPr>
            <w:tcW w:w="1843" w:type="dxa"/>
          </w:tcPr>
          <w:p w:rsidR="00BF542B" w:rsidRPr="00416514" w:rsidRDefault="00BF542B" w:rsidP="000E3C53">
            <w:pPr>
              <w:jc w:val="center"/>
              <w:rPr>
                <w:rFonts w:ascii="Arial" w:eastAsia="Calibri" w:hAnsi="Arial" w:cs="Arial"/>
                <w:sz w:val="20"/>
                <w:szCs w:val="20"/>
              </w:rPr>
            </w:pPr>
          </w:p>
          <w:p w:rsidR="00BF542B" w:rsidRPr="00416514" w:rsidRDefault="00BF542B" w:rsidP="000E3C53">
            <w:pPr>
              <w:rPr>
                <w:rFonts w:ascii="Arial" w:eastAsia="Calibri" w:hAnsi="Arial" w:cs="Arial"/>
                <w:sz w:val="20"/>
                <w:szCs w:val="20"/>
              </w:rPr>
            </w:pPr>
          </w:p>
          <w:p w:rsidR="00BF542B" w:rsidRPr="00416514" w:rsidRDefault="00BF542B" w:rsidP="000E3C53">
            <w:pPr>
              <w:jc w:val="center"/>
              <w:rPr>
                <w:rFonts w:ascii="Arial" w:eastAsia="Calibri" w:hAnsi="Arial" w:cs="Arial"/>
                <w:sz w:val="20"/>
                <w:szCs w:val="20"/>
              </w:rPr>
            </w:pPr>
            <w:r w:rsidRPr="00416514">
              <w:rPr>
                <w:rFonts w:ascii="Arial" w:eastAsia="Calibri" w:hAnsi="Arial" w:cs="Arial"/>
                <w:sz w:val="20"/>
                <w:szCs w:val="20"/>
              </w:rPr>
              <w:t>2,28</w:t>
            </w:r>
          </w:p>
        </w:tc>
      </w:tr>
    </w:tbl>
    <w:p w:rsidR="00BF542B" w:rsidRPr="00416514" w:rsidRDefault="00BF542B" w:rsidP="00BF542B">
      <w:pPr>
        <w:jc w:val="both"/>
        <w:rPr>
          <w:rFonts w:ascii="Arial" w:hAnsi="Arial" w:cs="Arial"/>
          <w:sz w:val="20"/>
          <w:szCs w:val="20"/>
        </w:rPr>
      </w:pPr>
    </w:p>
    <w:p w:rsidR="00BF542B" w:rsidRPr="00416514" w:rsidRDefault="00BF542B" w:rsidP="00BF542B">
      <w:pPr>
        <w:jc w:val="both"/>
        <w:rPr>
          <w:rFonts w:ascii="Arial" w:hAnsi="Arial" w:cs="Arial"/>
          <w:sz w:val="20"/>
          <w:szCs w:val="20"/>
        </w:rPr>
        <w:sectPr w:rsidR="00BF542B" w:rsidRPr="00416514" w:rsidSect="00A71B7A">
          <w:pgSz w:w="11906" w:h="16838"/>
          <w:pgMar w:top="1417" w:right="1417" w:bottom="1417" w:left="1417" w:header="708" w:footer="708" w:gutter="0"/>
          <w:cols w:space="708"/>
          <w:docGrid w:linePitch="360"/>
        </w:sectPr>
      </w:pPr>
      <w:r w:rsidRPr="00416514">
        <w:rPr>
          <w:rFonts w:ascii="Arial" w:hAnsi="Arial" w:cs="Arial"/>
          <w:sz w:val="20"/>
          <w:szCs w:val="20"/>
        </w:rPr>
        <w:t>*  Kurul, Müsteşarlığın uygun görüşünü alarak fonlara ilişkin gruplandırmayı değiştirmeye yetkilidir</w:t>
      </w:r>
      <w:r w:rsidR="00A9089A">
        <w:rPr>
          <w:rFonts w:ascii="Arial" w:hAnsi="Arial" w:cs="Arial"/>
          <w:sz w:val="20"/>
          <w:szCs w:val="20"/>
        </w:rPr>
        <w:t>.</w:t>
      </w:r>
    </w:p>
    <w:p w:rsidR="00BF542B" w:rsidRPr="00416514" w:rsidRDefault="00BF542B" w:rsidP="00BF542B">
      <w:pPr>
        <w:jc w:val="both"/>
        <w:rPr>
          <w:rFonts w:ascii="Arial" w:hAnsi="Arial" w:cs="Arial"/>
          <w:sz w:val="20"/>
          <w:szCs w:val="20"/>
        </w:rPr>
      </w:pPr>
    </w:p>
    <w:p w:rsidR="0016721B" w:rsidRDefault="00E76551" w:rsidP="00BF542B">
      <w:pPr>
        <w:spacing w:after="0" w:line="240" w:lineRule="auto"/>
        <w:ind w:firstLine="709"/>
        <w:jc w:val="right"/>
        <w:rPr>
          <w:rFonts w:ascii="Arial" w:hAnsi="Arial" w:cs="Arial"/>
          <w:b/>
          <w:sz w:val="20"/>
          <w:szCs w:val="20"/>
        </w:rPr>
      </w:pPr>
      <w:r w:rsidRPr="00416514">
        <w:rPr>
          <w:rFonts w:ascii="Arial" w:hAnsi="Arial" w:cs="Arial"/>
          <w:b/>
          <w:sz w:val="20"/>
          <w:szCs w:val="20"/>
        </w:rPr>
        <w:t>Ek-3</w:t>
      </w:r>
    </w:p>
    <w:p w:rsidR="00BF542B" w:rsidRDefault="0016721B" w:rsidP="00E76551">
      <w:pPr>
        <w:spacing w:after="0" w:line="240" w:lineRule="auto"/>
        <w:ind w:firstLine="709"/>
        <w:jc w:val="center"/>
        <w:rPr>
          <w:rFonts w:ascii="Arial" w:hAnsi="Arial" w:cs="Arial"/>
          <w:b/>
          <w:sz w:val="20"/>
          <w:szCs w:val="20"/>
        </w:rPr>
      </w:pPr>
      <w:r w:rsidRPr="00416514">
        <w:rPr>
          <w:rFonts w:ascii="Arial" w:hAnsi="Arial" w:cs="Arial"/>
          <w:b/>
          <w:sz w:val="20"/>
          <w:szCs w:val="20"/>
        </w:rPr>
        <w:t>Kesintilere İlişkin Sınırlamalar</w:t>
      </w:r>
    </w:p>
    <w:p w:rsidR="00E76551" w:rsidRPr="00416514" w:rsidRDefault="00E76551" w:rsidP="00E76551">
      <w:pPr>
        <w:spacing w:after="0" w:line="240" w:lineRule="auto"/>
        <w:ind w:firstLine="709"/>
        <w:jc w:val="center"/>
        <w:rPr>
          <w:rFonts w:ascii="Arial" w:hAnsi="Arial"/>
          <w:sz w:val="20"/>
        </w:rPr>
      </w:pPr>
    </w:p>
    <w:tbl>
      <w:tblPr>
        <w:tblStyle w:val="TabloKlavuzu"/>
        <w:tblW w:w="0" w:type="auto"/>
        <w:jc w:val="center"/>
        <w:shd w:val="pct15" w:color="auto" w:fill="auto"/>
        <w:tblLook w:val="04A0" w:firstRow="1" w:lastRow="0" w:firstColumn="1" w:lastColumn="0" w:noHBand="0" w:noVBand="1"/>
      </w:tblPr>
      <w:tblGrid>
        <w:gridCol w:w="3018"/>
        <w:gridCol w:w="6100"/>
      </w:tblGrid>
      <w:tr w:rsidR="00BF542B" w:rsidRPr="00416514" w:rsidTr="000E3C53">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 xml:space="preserve">Kesintilere İlişkin Üst Sınırlar </w:t>
            </w:r>
          </w:p>
        </w:tc>
      </w:tr>
      <w:tr w:rsidR="00BF542B" w:rsidRPr="00416514" w:rsidTr="000E3C53">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42B" w:rsidRPr="00416514" w:rsidRDefault="00BF542B" w:rsidP="000E3C53">
            <w:pPr>
              <w:jc w:val="center"/>
              <w:rPr>
                <w:rFonts w:ascii="Arial" w:hAnsi="Arial" w:cs="Arial"/>
                <w:sz w:val="20"/>
                <w:szCs w:val="20"/>
              </w:rPr>
            </w:pPr>
            <w:r w:rsidRPr="00416514">
              <w:rPr>
                <w:rFonts w:ascii="Arial" w:hAnsi="Arial" w:cs="Arial"/>
                <w:sz w:val="20"/>
                <w:szCs w:val="20"/>
              </w:rPr>
              <w:t>Yönetim Gider Kesintisi ve Giriş Aidatının toplam tutarı için;</w:t>
            </w:r>
          </w:p>
          <w:p w:rsidR="00BF542B" w:rsidRPr="00416514" w:rsidRDefault="00BF542B" w:rsidP="000E3C53">
            <w:pPr>
              <w:jc w:val="center"/>
              <w:rPr>
                <w:rFonts w:ascii="Arial" w:hAnsi="Arial" w:cs="Arial"/>
                <w:sz w:val="20"/>
                <w:szCs w:val="20"/>
              </w:rPr>
            </w:pPr>
          </w:p>
          <w:p w:rsidR="00BF542B" w:rsidRPr="00416514" w:rsidRDefault="00BF542B" w:rsidP="000E3C53">
            <w:pPr>
              <w:jc w:val="center"/>
              <w:rPr>
                <w:rFonts w:ascii="Arial" w:hAnsi="Arial" w:cs="Arial"/>
                <w:sz w:val="20"/>
                <w:szCs w:val="20"/>
              </w:rPr>
            </w:pPr>
          </w:p>
          <w:p w:rsidR="00BF542B" w:rsidRPr="00416514" w:rsidRDefault="00BF542B" w:rsidP="000E3C53">
            <w:pPr>
              <w:jc w:val="center"/>
              <w:rPr>
                <w:rFonts w:ascii="Arial" w:hAnsi="Arial" w:cs="Arial"/>
                <w:sz w:val="20"/>
                <w:szCs w:val="20"/>
              </w:rPr>
            </w:pPr>
            <w:r w:rsidRPr="00416514">
              <w:rPr>
                <w:rFonts w:ascii="Arial" w:hAnsi="Arial" w:cs="Arial"/>
                <w:sz w:val="20"/>
                <w:szCs w:val="20"/>
              </w:rPr>
              <w:t xml:space="preserve">Her Yıl İçin Aylık Brüt Asgari Ücretin %8,5’ine Karşılık Gelen Maktu Tutar </w:t>
            </w:r>
            <w:r w:rsidRPr="00416514">
              <w:rPr>
                <w:rFonts w:ascii="Arial" w:hAnsi="Arial" w:cs="Arial"/>
                <w:sz w:val="20"/>
                <w:szCs w:val="20"/>
                <w:vertAlign w:val="superscript"/>
              </w:rPr>
              <w:t>a</w:t>
            </w:r>
          </w:p>
          <w:p w:rsidR="00BF542B" w:rsidRPr="00416514" w:rsidRDefault="00BF542B" w:rsidP="000E3C53">
            <w:pPr>
              <w:jc w:val="center"/>
              <w:rPr>
                <w:rFonts w:ascii="Arial" w:hAnsi="Arial" w:cs="Arial"/>
                <w:sz w:val="20"/>
                <w:szCs w:val="20"/>
              </w:rPr>
            </w:pPr>
          </w:p>
        </w:tc>
      </w:tr>
      <w:tr w:rsidR="00BF542B" w:rsidRPr="00416514" w:rsidTr="000E3C53">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eastAsia="Calibri" w:hAnsi="Arial" w:cs="Arial"/>
                <w:b/>
                <w:sz w:val="20"/>
                <w:szCs w:val="20"/>
              </w:rPr>
            </w:pPr>
            <w:r w:rsidRPr="00416514">
              <w:rPr>
                <w:rFonts w:ascii="Arial" w:eastAsia="Calibri" w:hAnsi="Arial" w:cs="Arial"/>
                <w:b/>
                <w:sz w:val="20"/>
                <w:szCs w:val="20"/>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542B" w:rsidRPr="00416514" w:rsidRDefault="00BF542B" w:rsidP="000E3C53">
            <w:pPr>
              <w:jc w:val="center"/>
              <w:rPr>
                <w:rFonts w:ascii="Arial" w:hAnsi="Arial" w:cs="Arial"/>
                <w:sz w:val="20"/>
                <w:szCs w:val="20"/>
              </w:rPr>
            </w:pPr>
            <w:r w:rsidRPr="00416514">
              <w:rPr>
                <w:rFonts w:ascii="Arial" w:hAnsi="Arial" w:cs="Arial"/>
                <w:sz w:val="20"/>
                <w:szCs w:val="20"/>
              </w:rPr>
              <w:t>Toplam kesinti tutarı için;</w:t>
            </w:r>
          </w:p>
          <w:p w:rsidR="00BF542B" w:rsidRPr="00416514" w:rsidRDefault="00BF542B" w:rsidP="000E3C53">
            <w:pPr>
              <w:jc w:val="center"/>
              <w:rPr>
                <w:rFonts w:ascii="Arial" w:hAnsi="Arial" w:cs="Arial"/>
                <w:sz w:val="20"/>
                <w:szCs w:val="20"/>
              </w:rPr>
            </w:pPr>
          </w:p>
          <w:p w:rsidR="00BF542B" w:rsidRPr="00416514" w:rsidRDefault="00BF542B" w:rsidP="000E3C53">
            <w:pPr>
              <w:jc w:val="center"/>
              <w:rPr>
                <w:rFonts w:ascii="Arial" w:hAnsi="Arial" w:cs="Arial"/>
                <w:sz w:val="20"/>
                <w:szCs w:val="20"/>
                <w:vertAlign w:val="superscript"/>
              </w:rPr>
            </w:pPr>
            <w:r w:rsidRPr="00416514">
              <w:rPr>
                <w:rFonts w:ascii="Arial" w:hAnsi="Arial" w:cs="Arial"/>
                <w:sz w:val="20"/>
                <w:szCs w:val="20"/>
              </w:rPr>
              <w:t xml:space="preserve">Sözleşme Kapsamında Devlet Katkısı Hesabında Bulunan Tutarın Belli Bir Oranına Karşılık Gelen Tutar </w:t>
            </w:r>
            <w:r w:rsidRPr="00416514">
              <w:rPr>
                <w:rFonts w:ascii="Arial" w:hAnsi="Arial" w:cs="Arial"/>
                <w:sz w:val="20"/>
                <w:szCs w:val="20"/>
                <w:vertAlign w:val="superscript"/>
              </w:rPr>
              <w:t>b</w:t>
            </w:r>
          </w:p>
        </w:tc>
      </w:tr>
    </w:tbl>
    <w:p w:rsidR="00BF542B" w:rsidRPr="00416514" w:rsidRDefault="00BF542B" w:rsidP="00BF542B">
      <w:pPr>
        <w:spacing w:after="0" w:line="240" w:lineRule="auto"/>
        <w:ind w:firstLine="709"/>
        <w:rPr>
          <w:rFonts w:ascii="Arial" w:hAnsi="Arial" w:cs="Arial"/>
          <w:sz w:val="20"/>
          <w:szCs w:val="20"/>
        </w:rPr>
      </w:pPr>
      <w:r w:rsidRPr="00416514">
        <w:rPr>
          <w:rFonts w:ascii="Arial" w:hAnsi="Arial" w:cs="Arial"/>
          <w:sz w:val="20"/>
          <w:szCs w:val="20"/>
        </w:rPr>
        <w:tab/>
      </w:r>
      <w:r w:rsidRPr="00416514">
        <w:rPr>
          <w:rFonts w:ascii="Arial" w:hAnsi="Arial" w:cs="Arial"/>
          <w:sz w:val="20"/>
          <w:szCs w:val="20"/>
        </w:rPr>
        <w:tab/>
      </w:r>
      <w:r w:rsidRPr="00416514">
        <w:rPr>
          <w:rFonts w:ascii="Arial" w:hAnsi="Arial" w:cs="Arial"/>
          <w:sz w:val="20"/>
          <w:szCs w:val="20"/>
        </w:rPr>
        <w:tab/>
      </w:r>
      <w:r w:rsidRPr="00416514">
        <w:rPr>
          <w:rFonts w:ascii="Arial" w:hAnsi="Arial" w:cs="Arial"/>
          <w:sz w:val="20"/>
          <w:szCs w:val="20"/>
        </w:rPr>
        <w:tab/>
      </w:r>
      <w:r w:rsidRPr="00416514">
        <w:rPr>
          <w:rFonts w:ascii="Arial" w:hAnsi="Arial" w:cs="Arial"/>
          <w:sz w:val="20"/>
          <w:szCs w:val="20"/>
        </w:rPr>
        <w:tab/>
      </w: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 xml:space="preserve">a) Her yıl için, ilgili takvim yılının ilk altı ayında uygulanacak aylık brüt asgari ücret tutarı esas alınır. </w:t>
      </w: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 xml:space="preserve">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w:t>
      </w:r>
      <w:proofErr w:type="gramStart"/>
      <w:r w:rsidRPr="00416514">
        <w:rPr>
          <w:rFonts w:ascii="Arial" w:eastAsia="ヒラギノ明朝 Pro W3" w:hAnsi="Arial" w:cs="Arial"/>
          <w:sz w:val="20"/>
          <w:szCs w:val="20"/>
        </w:rPr>
        <w:t>1/1/2016</w:t>
      </w:r>
      <w:proofErr w:type="gramEnd"/>
      <w:r w:rsidRPr="00416514">
        <w:rPr>
          <w:rFonts w:ascii="Arial" w:eastAsia="ヒラギノ明朝 Pro W3" w:hAnsi="Arial" w:cs="Arial"/>
          <w:sz w:val="20"/>
          <w:szCs w:val="20"/>
        </w:rPr>
        <w:t xml:space="preserve"> tarihi itibarıyla mevcut bulunan birikimler ve bunların getirileri üzerinden kontrol tarihine kadar yapılan kesintiler dikkate alınmaz.</w:t>
      </w:r>
    </w:p>
    <w:p w:rsidR="00BF542B" w:rsidRPr="00416514" w:rsidRDefault="00BF542B" w:rsidP="00BF542B">
      <w:pPr>
        <w:spacing w:after="0" w:line="240" w:lineRule="auto"/>
        <w:ind w:left="142"/>
        <w:jc w:val="both"/>
        <w:rPr>
          <w:rFonts w:ascii="Arial" w:eastAsia="ヒラギノ明朝 Pro W3" w:hAnsi="Arial" w:cs="Arial"/>
          <w:sz w:val="20"/>
          <w:szCs w:val="20"/>
        </w:rPr>
      </w:pPr>
    </w:p>
    <w:tbl>
      <w:tblPr>
        <w:tblStyle w:val="TabloKlavuzu"/>
        <w:tblW w:w="0" w:type="auto"/>
        <w:tblInd w:w="250" w:type="dxa"/>
        <w:tblLook w:val="04A0" w:firstRow="1" w:lastRow="0" w:firstColumn="1" w:lastColumn="0" w:noHBand="0" w:noVBand="1"/>
      </w:tblPr>
      <w:tblGrid>
        <w:gridCol w:w="2268"/>
        <w:gridCol w:w="4678"/>
      </w:tblGrid>
      <w:tr w:rsidR="00BF542B" w:rsidRPr="00416514" w:rsidTr="000E3C53">
        <w:tc>
          <w:tcPr>
            <w:tcW w:w="2268" w:type="dxa"/>
            <w:shd w:val="clear" w:color="auto" w:fill="D9D9D9" w:themeFill="background1" w:themeFillShade="D9"/>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Sözleşme Yılı</w:t>
            </w:r>
          </w:p>
        </w:tc>
        <w:tc>
          <w:tcPr>
            <w:tcW w:w="4678" w:type="dxa"/>
            <w:shd w:val="clear" w:color="auto" w:fill="D9D9D9" w:themeFill="background1" w:themeFillShade="D9"/>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Kontrolde Kullanılacak Oran</w:t>
            </w:r>
          </w:p>
        </w:tc>
      </w:tr>
      <w:tr w:rsidR="00BF542B" w:rsidRPr="00416514" w:rsidTr="000E3C53">
        <w:tc>
          <w:tcPr>
            <w:tcW w:w="226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6</w:t>
            </w:r>
          </w:p>
        </w:tc>
        <w:tc>
          <w:tcPr>
            <w:tcW w:w="467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%60</w:t>
            </w:r>
          </w:p>
        </w:tc>
      </w:tr>
      <w:tr w:rsidR="00BF542B" w:rsidRPr="00416514" w:rsidTr="000E3C53">
        <w:tc>
          <w:tcPr>
            <w:tcW w:w="226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7</w:t>
            </w:r>
          </w:p>
        </w:tc>
        <w:tc>
          <w:tcPr>
            <w:tcW w:w="467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%70</w:t>
            </w:r>
          </w:p>
        </w:tc>
      </w:tr>
      <w:tr w:rsidR="00BF542B" w:rsidRPr="00416514" w:rsidTr="000E3C53">
        <w:tc>
          <w:tcPr>
            <w:tcW w:w="226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8</w:t>
            </w:r>
          </w:p>
        </w:tc>
        <w:tc>
          <w:tcPr>
            <w:tcW w:w="467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%80</w:t>
            </w:r>
          </w:p>
        </w:tc>
      </w:tr>
      <w:tr w:rsidR="00BF542B" w:rsidRPr="00416514" w:rsidTr="000E3C53">
        <w:tc>
          <w:tcPr>
            <w:tcW w:w="226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9</w:t>
            </w:r>
          </w:p>
        </w:tc>
        <w:tc>
          <w:tcPr>
            <w:tcW w:w="467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%90</w:t>
            </w:r>
          </w:p>
        </w:tc>
      </w:tr>
      <w:tr w:rsidR="00BF542B" w:rsidRPr="00416514" w:rsidTr="000E3C53">
        <w:tc>
          <w:tcPr>
            <w:tcW w:w="226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10+</w:t>
            </w:r>
          </w:p>
        </w:tc>
        <w:tc>
          <w:tcPr>
            <w:tcW w:w="4678" w:type="dxa"/>
          </w:tcPr>
          <w:p w:rsidR="00BF542B" w:rsidRPr="00416514" w:rsidRDefault="00BF542B" w:rsidP="000E3C53">
            <w:pPr>
              <w:jc w:val="center"/>
              <w:rPr>
                <w:rFonts w:ascii="Arial" w:hAnsi="Arial" w:cs="Arial"/>
                <w:sz w:val="20"/>
                <w:szCs w:val="20"/>
              </w:rPr>
            </w:pPr>
            <w:r w:rsidRPr="00416514">
              <w:rPr>
                <w:rFonts w:ascii="Arial" w:hAnsi="Arial" w:cs="Arial"/>
                <w:sz w:val="20"/>
                <w:szCs w:val="20"/>
              </w:rPr>
              <w:t>%100</w:t>
            </w:r>
          </w:p>
        </w:tc>
      </w:tr>
    </w:tbl>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Azami kesinti tutarlarının hesaplanmasında sözleşmenin bireysel emeklilik sisteminde fiilen geçirdiği süre esas alınır.</w:t>
      </w:r>
    </w:p>
    <w:p w:rsidR="00BF542B" w:rsidRPr="00416514" w:rsidRDefault="00BF542B" w:rsidP="00BF542B">
      <w:pPr>
        <w:spacing w:after="0" w:line="240" w:lineRule="auto"/>
        <w:ind w:left="142"/>
        <w:jc w:val="both"/>
        <w:rPr>
          <w:rFonts w:ascii="Arial" w:eastAsia="ヒラギノ明朝 Pro W3" w:hAnsi="Arial" w:cs="Arial"/>
          <w:sz w:val="20"/>
          <w:szCs w:val="20"/>
        </w:rPr>
        <w:sectPr w:rsidR="00BF542B" w:rsidRPr="00416514" w:rsidSect="00A71B7A">
          <w:pgSz w:w="11906" w:h="16838"/>
          <w:pgMar w:top="1417" w:right="1417" w:bottom="1417" w:left="1417" w:header="708" w:footer="708" w:gutter="0"/>
          <w:cols w:space="708"/>
          <w:docGrid w:linePitch="360"/>
        </w:sectPr>
      </w:pPr>
    </w:p>
    <w:p w:rsidR="00BF542B" w:rsidRPr="00416514" w:rsidRDefault="00BF542B" w:rsidP="00BF542B">
      <w:pPr>
        <w:spacing w:after="0" w:line="240" w:lineRule="auto"/>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jc w:val="right"/>
        <w:rPr>
          <w:rFonts w:ascii="Arial" w:hAnsi="Arial" w:cs="Arial"/>
          <w:b/>
          <w:sz w:val="20"/>
          <w:szCs w:val="20"/>
        </w:rPr>
      </w:pPr>
      <w:r w:rsidRPr="00416514">
        <w:rPr>
          <w:rFonts w:ascii="Arial" w:hAnsi="Arial" w:cs="Arial"/>
          <w:b/>
          <w:sz w:val="20"/>
          <w:szCs w:val="20"/>
        </w:rPr>
        <w:t>Ek-4</w:t>
      </w:r>
    </w:p>
    <w:p w:rsidR="00BF542B" w:rsidRPr="00416514" w:rsidRDefault="00BF542B" w:rsidP="00BF542B">
      <w:pPr>
        <w:spacing w:after="0" w:line="240" w:lineRule="auto"/>
        <w:ind w:left="142"/>
        <w:jc w:val="both"/>
        <w:rPr>
          <w:rFonts w:ascii="Arial" w:hAnsi="Arial" w:cs="Arial"/>
          <w:sz w:val="20"/>
          <w:szCs w:val="20"/>
        </w:rPr>
      </w:pPr>
    </w:p>
    <w:p w:rsidR="00BF542B" w:rsidRPr="00416514" w:rsidRDefault="00BF542B" w:rsidP="00BF542B">
      <w:pPr>
        <w:spacing w:after="0" w:line="240" w:lineRule="auto"/>
        <w:ind w:left="142"/>
        <w:jc w:val="center"/>
        <w:rPr>
          <w:rFonts w:ascii="Arial" w:hAnsi="Arial" w:cs="Arial"/>
          <w:b/>
          <w:sz w:val="20"/>
          <w:szCs w:val="20"/>
          <w:vertAlign w:val="superscript"/>
        </w:rPr>
      </w:pPr>
      <w:r w:rsidRPr="00416514">
        <w:rPr>
          <w:rFonts w:ascii="Arial" w:hAnsi="Arial" w:cs="Arial"/>
          <w:b/>
          <w:sz w:val="20"/>
          <w:szCs w:val="20"/>
        </w:rPr>
        <w:t xml:space="preserve">Fon Toplam Gider Kesintisine İlişkin İade Oranı </w:t>
      </w:r>
      <w:r w:rsidRPr="00416514">
        <w:rPr>
          <w:rFonts w:ascii="Arial" w:hAnsi="Arial" w:cs="Arial"/>
          <w:b/>
          <w:sz w:val="20"/>
          <w:szCs w:val="20"/>
          <w:vertAlign w:val="superscript"/>
        </w:rPr>
        <w:t>a</w:t>
      </w:r>
    </w:p>
    <w:p w:rsidR="00BF542B" w:rsidRPr="00416514" w:rsidRDefault="00BF542B" w:rsidP="00BF542B">
      <w:pPr>
        <w:spacing w:after="0" w:line="240" w:lineRule="auto"/>
        <w:ind w:left="142"/>
        <w:jc w:val="center"/>
        <w:rPr>
          <w:rFonts w:ascii="Arial" w:hAnsi="Arial" w:cs="Arial"/>
          <w:b/>
          <w:sz w:val="20"/>
          <w:szCs w:val="20"/>
          <w:vertAlign w:val="superscript"/>
        </w:rPr>
      </w:pPr>
    </w:p>
    <w:tbl>
      <w:tblPr>
        <w:tblStyle w:val="TabloKlavuzu"/>
        <w:tblW w:w="0" w:type="auto"/>
        <w:jc w:val="center"/>
        <w:shd w:val="pct15" w:color="auto" w:fill="auto"/>
        <w:tblLook w:val="04A0" w:firstRow="1" w:lastRow="0" w:firstColumn="1" w:lastColumn="0" w:noHBand="0" w:noVBand="1"/>
      </w:tblPr>
      <w:tblGrid>
        <w:gridCol w:w="4330"/>
        <w:gridCol w:w="4610"/>
      </w:tblGrid>
      <w:tr w:rsidR="00BF542B" w:rsidRPr="00416514" w:rsidTr="000E3C53">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 xml:space="preserve">İade Oranı </w:t>
            </w:r>
          </w:p>
        </w:tc>
      </w:tr>
      <w:tr w:rsidR="00BF542B" w:rsidRPr="00416514" w:rsidTr="000E3C53">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F542B" w:rsidRPr="00416514" w:rsidRDefault="00BF542B" w:rsidP="000E3C53">
            <w:pPr>
              <w:jc w:val="center"/>
              <w:rPr>
                <w:rFonts w:ascii="Arial" w:hAnsi="Arial" w:cs="Arial"/>
                <w:b/>
                <w:sz w:val="20"/>
                <w:szCs w:val="20"/>
              </w:rPr>
            </w:pPr>
            <w:r w:rsidRPr="00416514">
              <w:rPr>
                <w:rFonts w:ascii="Arial" w:hAnsi="Arial" w:cs="Arial"/>
                <w:b/>
                <w:sz w:val="20"/>
                <w:szCs w:val="20"/>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42B" w:rsidRPr="00416514" w:rsidRDefault="00BF542B" w:rsidP="000E3C53">
            <w:pPr>
              <w:jc w:val="center"/>
              <w:rPr>
                <w:rFonts w:ascii="Arial" w:hAnsi="Arial" w:cs="Arial"/>
                <w:sz w:val="20"/>
                <w:szCs w:val="20"/>
                <w:vertAlign w:val="superscript"/>
              </w:rPr>
            </w:pPr>
            <w:r w:rsidRPr="00416514">
              <w:rPr>
                <w:rFonts w:ascii="Arial" w:hAnsi="Arial" w:cs="Arial"/>
                <w:sz w:val="20"/>
                <w:szCs w:val="20"/>
              </w:rPr>
              <w:t xml:space="preserve">%2,5 </w:t>
            </w:r>
            <w:r w:rsidRPr="00416514">
              <w:rPr>
                <w:rFonts w:ascii="Arial" w:hAnsi="Arial" w:cs="Arial"/>
                <w:sz w:val="20"/>
                <w:szCs w:val="20"/>
                <w:vertAlign w:val="superscript"/>
              </w:rPr>
              <w:t>b</w:t>
            </w:r>
          </w:p>
        </w:tc>
      </w:tr>
    </w:tbl>
    <w:p w:rsidR="00BF542B" w:rsidRPr="00416514" w:rsidRDefault="00BF542B" w:rsidP="00BF542B">
      <w:pPr>
        <w:spacing w:after="0" w:line="240" w:lineRule="auto"/>
        <w:ind w:left="142"/>
        <w:jc w:val="both"/>
        <w:rPr>
          <w:rFonts w:ascii="Arial"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 xml:space="preserve">b) 7 </w:t>
      </w:r>
      <w:proofErr w:type="spellStart"/>
      <w:r w:rsidRPr="00416514">
        <w:rPr>
          <w:rFonts w:ascii="Arial" w:eastAsia="ヒラギノ明朝 Pro W3" w:hAnsi="Arial" w:cs="Arial"/>
          <w:sz w:val="20"/>
          <w:szCs w:val="20"/>
        </w:rPr>
        <w:t>nci</w:t>
      </w:r>
      <w:proofErr w:type="spellEnd"/>
      <w:r w:rsidRPr="00416514">
        <w:rPr>
          <w:rFonts w:ascii="Arial" w:eastAsia="ヒラギノ明朝 Pro W3" w:hAnsi="Arial" w:cs="Arial"/>
          <w:sz w:val="20"/>
          <w:szCs w:val="20"/>
        </w:rPr>
        <w:t xml:space="preserve"> ve 14 üncü yıllar arasındaki oranlar, her yıl için bir önceki yılda geçerli olan iade oranının 2,5 puan artırılması suretiyle uygulanır. 15 inci yıl ve sonrası için sabit olarak % 25 oranı uygulanır. İade oranı belirlenirken, </w:t>
      </w:r>
      <w:proofErr w:type="gramStart"/>
      <w:r w:rsidRPr="00416514">
        <w:rPr>
          <w:rFonts w:ascii="Arial" w:eastAsia="ヒラギノ明朝 Pro W3" w:hAnsi="Arial" w:cs="Arial"/>
          <w:sz w:val="20"/>
          <w:szCs w:val="20"/>
        </w:rPr>
        <w:t>1/1/2013</w:t>
      </w:r>
      <w:proofErr w:type="gramEnd"/>
      <w:r w:rsidRPr="00416514">
        <w:rPr>
          <w:rFonts w:ascii="Arial" w:eastAsia="ヒラギノ明朝 Pro W3" w:hAnsi="Arial" w:cs="Arial"/>
          <w:sz w:val="20"/>
          <w:szCs w:val="20"/>
        </w:rPr>
        <w:t xml:space="preserve"> tarihinden itibaren sözleşmede geçirilen tüm süreler dikkate alınır.</w:t>
      </w:r>
    </w:p>
    <w:p w:rsidR="00BF542B" w:rsidRPr="00416514" w:rsidRDefault="00BF542B" w:rsidP="00BF542B">
      <w:pPr>
        <w:spacing w:after="0" w:line="240" w:lineRule="auto"/>
        <w:ind w:left="142"/>
        <w:jc w:val="both"/>
        <w:rPr>
          <w:rFonts w:ascii="Arial" w:eastAsia="ヒラギノ明朝 Pro W3" w:hAnsi="Arial" w:cs="Arial"/>
          <w:sz w:val="20"/>
          <w:szCs w:val="20"/>
        </w:rPr>
      </w:pPr>
    </w:p>
    <w:p w:rsidR="00BF542B" w:rsidRPr="00416514" w:rsidRDefault="00BF542B" w:rsidP="00BF542B">
      <w:pPr>
        <w:spacing w:after="0" w:line="240" w:lineRule="auto"/>
        <w:ind w:left="142"/>
        <w:jc w:val="both"/>
        <w:rPr>
          <w:rFonts w:ascii="Arial" w:eastAsia="ヒラギノ明朝 Pro W3" w:hAnsi="Arial" w:cs="Arial"/>
          <w:sz w:val="20"/>
          <w:szCs w:val="20"/>
        </w:rPr>
      </w:pPr>
      <w:r w:rsidRPr="00416514">
        <w:rPr>
          <w:rFonts w:ascii="Arial" w:eastAsia="ヒラギノ明朝 Pro W3" w:hAnsi="Arial" w:cs="Arial"/>
          <w:sz w:val="20"/>
          <w:szCs w:val="20"/>
        </w:rPr>
        <w:t>Kesintinin hesaplama tarihi itibarıyla mevcut bulunan birikimin %1,1’inin altında kalan kısmı için iade uygulanmaz. İade sonrası kalan kesinti tutarının birikimin %1,1’inin altında kalmasına neden olacak kesinti tutarı iadeye konu edilmez.</w:t>
      </w:r>
    </w:p>
    <w:p w:rsidR="00BF542B" w:rsidRPr="00416514" w:rsidRDefault="00BF542B" w:rsidP="00BF542B">
      <w:pPr>
        <w:spacing w:after="0" w:line="240" w:lineRule="auto"/>
        <w:ind w:left="142"/>
        <w:jc w:val="both"/>
        <w:rPr>
          <w:rFonts w:ascii="Arial" w:hAnsi="Arial"/>
          <w:b/>
          <w:sz w:val="20"/>
        </w:rPr>
      </w:pPr>
    </w:p>
    <w:p w:rsidR="00BF542B" w:rsidRPr="00416514" w:rsidRDefault="00BF542B" w:rsidP="00BF542B">
      <w:pPr>
        <w:spacing w:after="0" w:line="240" w:lineRule="auto"/>
        <w:ind w:left="142"/>
        <w:jc w:val="both"/>
        <w:rPr>
          <w:rFonts w:ascii="Arial" w:eastAsia="ヒラギノ明朝 Pro W3" w:hAnsi="Arial" w:cs="Arial"/>
          <w:b/>
          <w:sz w:val="20"/>
          <w:szCs w:val="20"/>
        </w:rPr>
      </w:pPr>
      <w:r w:rsidRPr="00416514">
        <w:rPr>
          <w:rFonts w:ascii="Arial" w:eastAsia="ヒラギノ明朝 Pro W3" w:hAnsi="Arial" w:cs="Arial"/>
          <w:b/>
          <w:sz w:val="20"/>
          <w:szCs w:val="20"/>
        </w:rPr>
        <w:t xml:space="preserve">                                                                                                                                                  </w:t>
      </w:r>
    </w:p>
    <w:p w:rsidR="00BF542B" w:rsidRPr="00416514" w:rsidRDefault="00BF542B" w:rsidP="00BF542B">
      <w:pPr>
        <w:jc w:val="both"/>
        <w:rPr>
          <w:rFonts w:ascii="Arial" w:hAnsi="Arial" w:cs="Arial"/>
          <w:sz w:val="20"/>
          <w:szCs w:val="20"/>
        </w:rPr>
      </w:pPr>
    </w:p>
    <w:p w:rsidR="00BF542B" w:rsidRPr="00416514" w:rsidRDefault="00BF542B" w:rsidP="00BF542B">
      <w:pPr>
        <w:rPr>
          <w:rFonts w:ascii="Arial" w:hAnsi="Arial" w:cs="Arial"/>
          <w:sz w:val="20"/>
          <w:szCs w:val="20"/>
        </w:rPr>
      </w:pPr>
    </w:p>
    <w:p w:rsidR="00F814F0" w:rsidRDefault="00F814F0"/>
    <w:sectPr w:rsidR="00F814F0" w:rsidSect="00A71B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9A" w:rsidRDefault="00D0709A">
      <w:pPr>
        <w:spacing w:after="0" w:line="240" w:lineRule="auto"/>
      </w:pPr>
      <w:r>
        <w:separator/>
      </w:r>
    </w:p>
  </w:endnote>
  <w:endnote w:type="continuationSeparator" w:id="0">
    <w:p w:rsidR="00D0709A" w:rsidRDefault="00D0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rsidP="008775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9A" w:rsidRDefault="00D0709A">
      <w:pPr>
        <w:spacing w:after="0" w:line="240" w:lineRule="auto"/>
      </w:pPr>
      <w:r>
        <w:separator/>
      </w:r>
    </w:p>
  </w:footnote>
  <w:footnote w:type="continuationSeparator" w:id="0">
    <w:p w:rsidR="00D0709A" w:rsidRDefault="00D0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4C" w:rsidRDefault="00D070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28"/>
    <w:rsid w:val="00071628"/>
    <w:rsid w:val="000B654D"/>
    <w:rsid w:val="000F1D8A"/>
    <w:rsid w:val="00120E0F"/>
    <w:rsid w:val="0016721B"/>
    <w:rsid w:val="00201603"/>
    <w:rsid w:val="0024609D"/>
    <w:rsid w:val="00314458"/>
    <w:rsid w:val="00397D2C"/>
    <w:rsid w:val="003B311E"/>
    <w:rsid w:val="003F7921"/>
    <w:rsid w:val="004D5ADE"/>
    <w:rsid w:val="0065026F"/>
    <w:rsid w:val="00743E8D"/>
    <w:rsid w:val="00874F50"/>
    <w:rsid w:val="00884745"/>
    <w:rsid w:val="008F763F"/>
    <w:rsid w:val="009A5D7B"/>
    <w:rsid w:val="009A5F62"/>
    <w:rsid w:val="00A9089A"/>
    <w:rsid w:val="00AA46BF"/>
    <w:rsid w:val="00BB1B22"/>
    <w:rsid w:val="00BF542B"/>
    <w:rsid w:val="00C425D8"/>
    <w:rsid w:val="00CC00BF"/>
    <w:rsid w:val="00D0709A"/>
    <w:rsid w:val="00D264BD"/>
    <w:rsid w:val="00DB418D"/>
    <w:rsid w:val="00E76551"/>
    <w:rsid w:val="00F8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F54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542B"/>
    <w:rPr>
      <w:rFonts w:eastAsiaTheme="minorEastAsia"/>
      <w:lang w:eastAsia="tr-TR"/>
    </w:rPr>
  </w:style>
  <w:style w:type="paragraph" w:styleId="Altbilgi">
    <w:name w:val="footer"/>
    <w:basedOn w:val="Normal"/>
    <w:link w:val="AltbilgiChar"/>
    <w:uiPriority w:val="99"/>
    <w:unhideWhenUsed/>
    <w:rsid w:val="00BF54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542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F54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542B"/>
    <w:rPr>
      <w:rFonts w:eastAsiaTheme="minorEastAsia"/>
      <w:lang w:eastAsia="tr-TR"/>
    </w:rPr>
  </w:style>
  <w:style w:type="paragraph" w:styleId="Altbilgi">
    <w:name w:val="footer"/>
    <w:basedOn w:val="Normal"/>
    <w:link w:val="AltbilgiChar"/>
    <w:uiPriority w:val="99"/>
    <w:unhideWhenUsed/>
    <w:rsid w:val="00BF54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542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AKIN</dc:creator>
  <cp:lastModifiedBy>Muazzez Memiş</cp:lastModifiedBy>
  <cp:revision>2</cp:revision>
  <cp:lastPrinted>2016-12-09T14:00:00Z</cp:lastPrinted>
  <dcterms:created xsi:type="dcterms:W3CDTF">2018-04-12T13:35:00Z</dcterms:created>
  <dcterms:modified xsi:type="dcterms:W3CDTF">2018-04-12T13:35:00Z</dcterms:modified>
</cp:coreProperties>
</file>