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2" w:rsidRPr="00FE21E2" w:rsidRDefault="00FE21E2" w:rsidP="00FE21E2">
      <w:pPr>
        <w:spacing w:after="0" w:line="360" w:lineRule="auto"/>
        <w:ind w:right="-108"/>
        <w:jc w:val="both"/>
        <w:rPr>
          <w:rFonts w:ascii="Arial" w:eastAsia="Cambria" w:hAnsi="Arial" w:cs="Arial"/>
          <w:b/>
          <w:sz w:val="20"/>
          <w:szCs w:val="22"/>
        </w:rPr>
      </w:pPr>
      <w:proofErr w:type="spellStart"/>
      <w:r w:rsidRPr="00FE21E2">
        <w:rPr>
          <w:rFonts w:ascii="Arial" w:eastAsia="Cambria" w:hAnsi="Arial" w:cs="Arial"/>
          <w:b/>
          <w:sz w:val="20"/>
          <w:szCs w:val="22"/>
          <w:u w:val="single"/>
        </w:rPr>
        <w:t>Hazine</w:t>
      </w:r>
      <w:proofErr w:type="spellEnd"/>
      <w:r w:rsidRPr="00FE21E2">
        <w:rPr>
          <w:rFonts w:ascii="Arial" w:eastAsia="Cambria" w:hAnsi="Arial" w:cs="Arial"/>
          <w:b/>
          <w:sz w:val="20"/>
          <w:szCs w:val="22"/>
          <w:u w:val="single"/>
        </w:rPr>
        <w:t xml:space="preserve"> </w:t>
      </w:r>
      <w:proofErr w:type="spellStart"/>
      <w:r w:rsidRPr="00FE21E2">
        <w:rPr>
          <w:rFonts w:ascii="Arial" w:eastAsia="Cambria" w:hAnsi="Arial" w:cs="Arial"/>
          <w:b/>
          <w:sz w:val="20"/>
          <w:szCs w:val="22"/>
          <w:u w:val="single"/>
        </w:rPr>
        <w:t>ve</w:t>
      </w:r>
      <w:proofErr w:type="spellEnd"/>
      <w:r w:rsidRPr="00FE21E2">
        <w:rPr>
          <w:rFonts w:ascii="Arial" w:eastAsia="Cambria" w:hAnsi="Arial" w:cs="Arial"/>
          <w:b/>
          <w:sz w:val="20"/>
          <w:szCs w:val="22"/>
          <w:u w:val="single"/>
        </w:rPr>
        <w:t xml:space="preserve"> </w:t>
      </w:r>
      <w:proofErr w:type="spellStart"/>
      <w:r w:rsidRPr="00FE21E2">
        <w:rPr>
          <w:rFonts w:ascii="Arial" w:eastAsia="Cambria" w:hAnsi="Arial" w:cs="Arial"/>
          <w:b/>
          <w:sz w:val="20"/>
          <w:szCs w:val="22"/>
          <w:u w:val="single"/>
        </w:rPr>
        <w:t>Maliye</w:t>
      </w:r>
      <w:proofErr w:type="spellEnd"/>
      <w:r w:rsidRPr="00FE21E2">
        <w:rPr>
          <w:rFonts w:ascii="Arial" w:eastAsia="Cambria" w:hAnsi="Arial" w:cs="Arial"/>
          <w:b/>
          <w:sz w:val="20"/>
          <w:szCs w:val="22"/>
          <w:u w:val="single"/>
        </w:rPr>
        <w:t xml:space="preserve"> </w:t>
      </w:r>
      <w:proofErr w:type="spellStart"/>
      <w:r w:rsidRPr="00FE21E2">
        <w:rPr>
          <w:rFonts w:ascii="Arial" w:eastAsia="Cambria" w:hAnsi="Arial" w:cs="Arial"/>
          <w:b/>
          <w:sz w:val="20"/>
          <w:szCs w:val="22"/>
          <w:u w:val="single"/>
        </w:rPr>
        <w:t>Bakanlığından</w:t>
      </w:r>
      <w:proofErr w:type="spellEnd"/>
      <w:r w:rsidRPr="00FE21E2">
        <w:rPr>
          <w:rFonts w:ascii="Arial" w:eastAsia="Cambria" w:hAnsi="Arial" w:cs="Arial"/>
          <w:b/>
          <w:sz w:val="20"/>
          <w:szCs w:val="22"/>
          <w:u w:val="single"/>
        </w:rPr>
        <w:t>:</w:t>
      </w:r>
      <w:r w:rsidRPr="00FE21E2">
        <w:rPr>
          <w:rFonts w:ascii="Arial" w:eastAsia="Cambria" w:hAnsi="Arial" w:cs="Arial"/>
          <w:b/>
          <w:sz w:val="20"/>
          <w:szCs w:val="22"/>
        </w:rPr>
        <w:t xml:space="preserve">   </w:t>
      </w:r>
      <w:r w:rsidRPr="00FE21E2">
        <w:rPr>
          <w:rFonts w:ascii="Arial" w:eastAsia="Cambria" w:hAnsi="Arial" w:cs="Arial"/>
          <w:b/>
          <w:sz w:val="20"/>
          <w:szCs w:val="22"/>
        </w:rPr>
        <w:tab/>
      </w:r>
      <w:r w:rsidRPr="00FE21E2">
        <w:rPr>
          <w:rFonts w:ascii="Arial" w:eastAsia="Cambria" w:hAnsi="Arial" w:cs="Arial"/>
          <w:b/>
          <w:sz w:val="20"/>
          <w:szCs w:val="22"/>
        </w:rPr>
        <w:tab/>
      </w:r>
      <w:r w:rsidRPr="00FE21E2">
        <w:rPr>
          <w:rFonts w:ascii="Arial" w:eastAsia="Cambria" w:hAnsi="Arial" w:cs="Arial"/>
          <w:b/>
          <w:sz w:val="20"/>
          <w:szCs w:val="22"/>
        </w:rPr>
        <w:tab/>
      </w:r>
      <w:r w:rsidRPr="00FE21E2">
        <w:rPr>
          <w:rFonts w:ascii="Arial" w:eastAsia="Cambria" w:hAnsi="Arial" w:cs="Arial"/>
          <w:b/>
          <w:sz w:val="20"/>
          <w:szCs w:val="22"/>
        </w:rPr>
        <w:tab/>
      </w:r>
      <w:r w:rsidRPr="00FE21E2">
        <w:rPr>
          <w:rFonts w:ascii="Arial" w:eastAsia="Cambria" w:hAnsi="Arial" w:cs="Arial"/>
          <w:b/>
          <w:sz w:val="20"/>
          <w:szCs w:val="22"/>
        </w:rPr>
        <w:tab/>
      </w:r>
      <w:r w:rsidRPr="00FE21E2">
        <w:rPr>
          <w:rFonts w:ascii="Arial" w:eastAsia="Cambria" w:hAnsi="Arial" w:cs="Arial"/>
          <w:b/>
          <w:sz w:val="20"/>
          <w:szCs w:val="22"/>
        </w:rPr>
        <w:tab/>
        <w:t xml:space="preserve">    25.09.2018</w:t>
      </w:r>
      <w:r w:rsidRPr="00FE21E2">
        <w:rPr>
          <w:rFonts w:ascii="Arial" w:eastAsia="Cambria" w:hAnsi="Arial" w:cs="Arial"/>
          <w:b/>
          <w:sz w:val="20"/>
          <w:szCs w:val="22"/>
        </w:rPr>
        <w:br/>
      </w:r>
      <w:r w:rsidRPr="00FE21E2">
        <w:rPr>
          <w:rFonts w:ascii="Arial" w:eastAsia="Cambria" w:hAnsi="Arial" w:cs="Arial"/>
          <w:b/>
          <w:sz w:val="20"/>
          <w:szCs w:val="22"/>
        </w:rPr>
        <w:br/>
      </w:r>
    </w:p>
    <w:p w:rsidR="00FE21E2" w:rsidRPr="00FE21E2" w:rsidRDefault="00FE21E2" w:rsidP="00FE21E2">
      <w:pPr>
        <w:keepNext/>
        <w:widowControl w:val="0"/>
        <w:spacing w:after="240"/>
        <w:ind w:right="283"/>
        <w:jc w:val="both"/>
        <w:outlineLvl w:val="1"/>
        <w:rPr>
          <w:rFonts w:ascii="Arial" w:eastAsia="Cambria" w:hAnsi="Arial" w:cs="Arial"/>
          <w:b/>
          <w:bCs/>
          <w:szCs w:val="22"/>
          <w:lang w:eastAsia="tr-TR"/>
        </w:rPr>
      </w:pPr>
      <w:bookmarkStart w:id="0" w:name="_Toc528229698"/>
      <w:r w:rsidRPr="00FE21E2">
        <w:rPr>
          <w:rFonts w:ascii="Arial" w:eastAsia="Cambria" w:hAnsi="Arial" w:cs="Arial"/>
          <w:b/>
          <w:bCs/>
          <w:szCs w:val="22"/>
          <w:lang w:eastAsia="tr-TR"/>
        </w:rPr>
        <w:t xml:space="preserve">SİGORTA </w:t>
      </w:r>
      <w:proofErr w:type="spellStart"/>
      <w:r w:rsidRPr="00FE21E2">
        <w:rPr>
          <w:rFonts w:ascii="Arial" w:eastAsia="Cambria" w:hAnsi="Arial" w:cs="Arial"/>
          <w:b/>
          <w:bCs/>
          <w:szCs w:val="22"/>
          <w:lang w:eastAsia="tr-TR"/>
        </w:rPr>
        <w:t>ve</w:t>
      </w:r>
      <w:proofErr w:type="spellEnd"/>
      <w:r w:rsidRPr="00FE21E2">
        <w:rPr>
          <w:rFonts w:ascii="Arial" w:eastAsia="Cambria" w:hAnsi="Arial" w:cs="Arial"/>
          <w:b/>
          <w:bCs/>
          <w:szCs w:val="22"/>
          <w:lang w:eastAsia="tr-TR"/>
        </w:rPr>
        <w:t xml:space="preserve"> EMEKLİLİK ŞİRKETLERİNİN TFRS 15’E GEÇİŞ TARİHİNE İLİŞKİN GENELGE (2018/04)</w:t>
      </w:r>
      <w:bookmarkEnd w:id="0"/>
    </w:p>
    <w:p w:rsidR="00FE21E2" w:rsidRPr="00FE21E2" w:rsidRDefault="00FE21E2" w:rsidP="00FE21E2">
      <w:pPr>
        <w:spacing w:before="180" w:after="180"/>
        <w:rPr>
          <w:rFonts w:ascii="Arial" w:eastAsia="Cambria" w:hAnsi="Arial" w:cs="Arial"/>
          <w:sz w:val="20"/>
          <w:szCs w:val="20"/>
        </w:rPr>
      </w:pPr>
    </w:p>
    <w:p w:rsidR="00FE21E2" w:rsidRPr="00FE21E2" w:rsidRDefault="00FE21E2" w:rsidP="00FE21E2">
      <w:pPr>
        <w:spacing w:before="180" w:after="180"/>
        <w:ind w:firstLine="720"/>
        <w:rPr>
          <w:rFonts w:ascii="Arial" w:eastAsia="Cambria" w:hAnsi="Arial" w:cs="Arial"/>
          <w:sz w:val="22"/>
          <w:szCs w:val="22"/>
        </w:rPr>
      </w:pPr>
      <w:proofErr w:type="spellStart"/>
      <w:r w:rsidRPr="00FE21E2">
        <w:rPr>
          <w:rFonts w:ascii="Arial" w:eastAsia="Cambria" w:hAnsi="Arial" w:cs="Arial"/>
          <w:sz w:val="22"/>
          <w:szCs w:val="22"/>
        </w:rPr>
        <w:t>Bilindiği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üzere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Sigortacılık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Kanununun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18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inci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maddesinin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birinci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fıkrası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“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Sigorta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şirketleri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reasürans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şirketleri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,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hesaplarını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mali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tablolarını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,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Müsteşarlıkça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belirlenecek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esaslara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örneğe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uygun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olarak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düzenlemek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,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ilan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ettirmek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Müsteşarlığa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göndermek</w:t>
      </w:r>
      <w:proofErr w:type="spellEnd"/>
      <w:r w:rsidRPr="00FE21E2">
        <w:rPr>
          <w:rFonts w:ascii="Arial" w:eastAsia="Cambria" w:hAnsi="Arial" w:cs="Arial"/>
          <w:i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i/>
          <w:sz w:val="22"/>
          <w:szCs w:val="22"/>
        </w:rPr>
        <w:t>zorundadır</w:t>
      </w:r>
      <w:proofErr w:type="spellEnd"/>
      <w:proofErr w:type="gramStart"/>
      <w:r w:rsidRPr="00FE21E2">
        <w:rPr>
          <w:rFonts w:ascii="Arial" w:eastAsia="Cambria" w:hAnsi="Arial" w:cs="Arial"/>
          <w:i/>
          <w:sz w:val="22"/>
          <w:szCs w:val="22"/>
        </w:rPr>
        <w:t>. ”</w:t>
      </w:r>
      <w:proofErr w:type="gram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hükmünü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amirdir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>.</w:t>
      </w:r>
    </w:p>
    <w:p w:rsidR="00FE21E2" w:rsidRPr="00FE21E2" w:rsidRDefault="00FE21E2" w:rsidP="00FE21E2">
      <w:pPr>
        <w:spacing w:before="180" w:after="180"/>
        <w:ind w:firstLine="720"/>
        <w:rPr>
          <w:rFonts w:ascii="Arial" w:eastAsia="Cambria" w:hAnsi="Arial" w:cs="Arial"/>
          <w:sz w:val="22"/>
          <w:szCs w:val="22"/>
        </w:rPr>
      </w:pPr>
      <w:proofErr w:type="spellStart"/>
      <w:r w:rsidRPr="00FE21E2">
        <w:rPr>
          <w:rFonts w:ascii="Arial" w:eastAsia="Cambria" w:hAnsi="Arial" w:cs="Arial"/>
          <w:sz w:val="22"/>
          <w:szCs w:val="22"/>
        </w:rPr>
        <w:t>Bakanlığımıza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intikal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eden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başvurulardan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;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Kamu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Gözetimi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Muhasebe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Denetim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Standartları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Kurumu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(KGK)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tarafından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hazırlanan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, 9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Eylül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2016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Tarihli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29826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sayılı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Resmi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Gazetede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yayımlanan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“TFRS 15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Müşteri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Sözleşmelerinden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Hasılat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”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Standardına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uyum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kapsamında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sigorta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emeklilik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şirketlerinin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sistem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altyapılarını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geliştirmeleri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gerektiği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Standart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kapsamında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ertelemeye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konu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kayıtların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vergi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uygulamaları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açısından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değerlendirilmesi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ilgili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vergi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mevzuatında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düzenleme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yapılması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gerektiği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ilgili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Standardın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sermaye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yeterliliği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gibi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hususlarda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sigorta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emeklilik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şirketlerinin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mali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yapılarında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uyumsuzluğa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yol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açacağı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bu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itibarla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Standarda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geçişin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TFRS 9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TFRS 17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ile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eşzamanlı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olmasının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talep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edildiği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anlaşılmaktadır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>.</w:t>
      </w:r>
    </w:p>
    <w:p w:rsidR="00FE21E2" w:rsidRPr="00FE21E2" w:rsidRDefault="00FE21E2" w:rsidP="00FE21E2">
      <w:pPr>
        <w:spacing w:before="180" w:after="180"/>
        <w:ind w:firstLine="720"/>
        <w:rPr>
          <w:rFonts w:ascii="Arial" w:eastAsia="Cambria" w:hAnsi="Arial" w:cs="Arial"/>
          <w:sz w:val="22"/>
          <w:szCs w:val="22"/>
        </w:rPr>
      </w:pPr>
      <w:proofErr w:type="spellStart"/>
      <w:r w:rsidRPr="00FE21E2">
        <w:rPr>
          <w:rFonts w:ascii="Arial" w:eastAsia="Cambria" w:hAnsi="Arial" w:cs="Arial"/>
          <w:sz w:val="22"/>
          <w:szCs w:val="22"/>
        </w:rPr>
        <w:t>Bakanlığımızca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yapılan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değerlendirme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sonucunda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;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sigorta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sözleşmelerinde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sunulan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ek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hizmetlere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ilişkin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TFRS 15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KGK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tarafından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yayımlanacak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TFRS 17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arasında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çakışan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hükümlerin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olduğu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, TFRS 17'ye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uyum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kapsamında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sigorta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emeklilik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şirketlerinin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çalışmalara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başladığı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>, TFRS 9 “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Finansal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Araçlar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”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Standardına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uyum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kapsamında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sigortacılık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sektörüne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01.01.2021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tarihine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kadar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süre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tanınmış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olduğu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;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bu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çerçevede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, TFRS 15'e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uyum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kapsamında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yapılması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gereken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yatırımların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TFRS 17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TFRS 9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ile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birlikte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eşzamanlı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yapılmasının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etkinliği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arttıracağı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uygulamada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ortaya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çıkabilecek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önemli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aksaklıkların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önüne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geçilmesini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sağlayacağı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anlaşılmıştır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>.</w:t>
      </w:r>
    </w:p>
    <w:p w:rsidR="00FE21E2" w:rsidRPr="00FE21E2" w:rsidRDefault="00FE21E2" w:rsidP="00FE21E2">
      <w:pPr>
        <w:spacing w:before="180" w:after="180"/>
        <w:ind w:firstLine="720"/>
        <w:rPr>
          <w:rFonts w:ascii="Arial" w:eastAsia="Cambria" w:hAnsi="Arial" w:cs="Arial"/>
          <w:sz w:val="22"/>
          <w:szCs w:val="22"/>
        </w:rPr>
      </w:pPr>
      <w:r w:rsidRPr="00FE21E2">
        <w:rPr>
          <w:rFonts w:ascii="Arial" w:eastAsia="Cambria" w:hAnsi="Arial" w:cs="Arial"/>
          <w:sz w:val="22"/>
          <w:szCs w:val="22"/>
        </w:rPr>
        <w:t xml:space="preserve">Bu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itibarla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,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sigorta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reasürans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ile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emeklilik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şirketlerinin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TFRS 15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kapsamında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ertelenmesi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gereken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gelirleri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ile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giderleri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bakımından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söz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konusu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standarda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geçiş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tarihlerinin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TFRS 17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ve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TFRS 9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standardına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geçiş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ile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eşzamanlı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olarak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gerçekleştirilmesi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uygun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görülmüştür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>.</w:t>
      </w:r>
    </w:p>
    <w:p w:rsidR="00FE21E2" w:rsidRPr="00FE21E2" w:rsidRDefault="00FE21E2" w:rsidP="00FE21E2">
      <w:pPr>
        <w:spacing w:before="180" w:after="180"/>
        <w:ind w:firstLine="720"/>
        <w:rPr>
          <w:rFonts w:ascii="Arial" w:eastAsia="Cambria" w:hAnsi="Arial" w:cs="Arial"/>
          <w:sz w:val="22"/>
          <w:szCs w:val="22"/>
        </w:rPr>
      </w:pPr>
      <w:proofErr w:type="gramStart"/>
      <w:r w:rsidRPr="00FE21E2">
        <w:rPr>
          <w:rFonts w:ascii="Arial" w:eastAsia="Cambria" w:hAnsi="Arial" w:cs="Arial"/>
          <w:sz w:val="22"/>
          <w:szCs w:val="22"/>
        </w:rPr>
        <w:t xml:space="preserve">Bu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genelge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yayımı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tarihinde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yürürlüğe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FE21E2">
        <w:rPr>
          <w:rFonts w:ascii="Arial" w:eastAsia="Cambria" w:hAnsi="Arial" w:cs="Arial"/>
          <w:sz w:val="22"/>
          <w:szCs w:val="22"/>
        </w:rPr>
        <w:t>girer</w:t>
      </w:r>
      <w:proofErr w:type="spellEnd"/>
      <w:r w:rsidRPr="00FE21E2">
        <w:rPr>
          <w:rFonts w:ascii="Arial" w:eastAsia="Cambria" w:hAnsi="Arial" w:cs="Arial"/>
          <w:sz w:val="22"/>
          <w:szCs w:val="22"/>
        </w:rPr>
        <w:t>.</w:t>
      </w:r>
      <w:proofErr w:type="gramEnd"/>
    </w:p>
    <w:p w:rsidR="00FE21E2" w:rsidRPr="00FE21E2" w:rsidRDefault="00FE21E2" w:rsidP="00FE21E2">
      <w:pPr>
        <w:spacing w:after="0"/>
        <w:rPr>
          <w:rFonts w:ascii="Arial" w:eastAsia="Times New Roman" w:hAnsi="Arial" w:cs="Arial"/>
          <w:noProof/>
          <w:color w:val="FF0000"/>
          <w:kern w:val="16"/>
          <w:position w:val="24"/>
          <w:sz w:val="22"/>
          <w:szCs w:val="22"/>
          <w:u w:val="single"/>
          <w:lang w:val="tr-TR"/>
        </w:rPr>
      </w:pPr>
      <w:bookmarkStart w:id="1" w:name="_GoBack"/>
      <w:bookmarkEnd w:id="1"/>
    </w:p>
    <w:p w:rsidR="00FE21E2" w:rsidRPr="00FE21E2" w:rsidRDefault="00FE21E2" w:rsidP="00FE21E2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noProof/>
          <w:color w:val="FF0000"/>
          <w:kern w:val="16"/>
          <w:position w:val="24"/>
          <w:sz w:val="22"/>
          <w:szCs w:val="22"/>
          <w:u w:val="single"/>
          <w:lang w:val="tr-TR"/>
        </w:rPr>
      </w:pPr>
    </w:p>
    <w:p w:rsidR="00857BE6" w:rsidRPr="00FE21E2" w:rsidRDefault="00857BE6" w:rsidP="00FE21E2"/>
    <w:sectPr w:rsidR="00857BE6" w:rsidRPr="00FE21E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D3" w:rsidRDefault="00161FD3">
      <w:pPr>
        <w:spacing w:after="0"/>
      </w:pPr>
      <w:r>
        <w:separator/>
      </w:r>
    </w:p>
  </w:endnote>
  <w:endnote w:type="continuationSeparator" w:id="0">
    <w:p w:rsidR="00161FD3" w:rsidRDefault="00161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D3" w:rsidRDefault="00161FD3">
      <w:r>
        <w:separator/>
      </w:r>
    </w:p>
  </w:footnote>
  <w:footnote w:type="continuationSeparator" w:id="0">
    <w:p w:rsidR="00161FD3" w:rsidRDefault="0016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7CA69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1ADB6"/>
    <w:multiLevelType w:val="multilevel"/>
    <w:tmpl w:val="630092A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00934"/>
    <w:rsid w:val="00161FD3"/>
    <w:rsid w:val="004E29B3"/>
    <w:rsid w:val="00523AC9"/>
    <w:rsid w:val="00590D07"/>
    <w:rsid w:val="00784D58"/>
    <w:rsid w:val="00857BE6"/>
    <w:rsid w:val="008D6863"/>
    <w:rsid w:val="0094791F"/>
    <w:rsid w:val="00B86B75"/>
    <w:rsid w:val="00BC48D5"/>
    <w:rsid w:val="00C36279"/>
    <w:rsid w:val="00E315A3"/>
    <w:rsid w:val="00FE2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Balk1">
    <w:name w:val="heading 1"/>
    <w:basedOn w:val="Normal"/>
    <w:next w:val="GvdeMetn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</w:style>
  <w:style w:type="paragraph" w:customStyle="1" w:styleId="Compact">
    <w:name w:val="Compact"/>
    <w:basedOn w:val="GvdeMetni"/>
    <w:qFormat/>
    <w:pPr>
      <w:spacing w:before="36" w:after="36"/>
    </w:pPr>
  </w:style>
  <w:style w:type="paragraph" w:styleId="KonuBal">
    <w:name w:val="Title"/>
    <w:basedOn w:val="Normal"/>
    <w:next w:val="GvdeMetni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KonuBal">
    <w:name w:val="Subtitle"/>
    <w:basedOn w:val="KonuBal"/>
    <w:next w:val="GvdeMetni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pPr>
      <w:keepNext/>
      <w:keepLines/>
      <w:jc w:val="center"/>
    </w:pPr>
  </w:style>
  <w:style w:type="paragraph" w:styleId="Tarih">
    <w:name w:val="Date"/>
    <w:next w:val="GvdeMetni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</w:style>
  <w:style w:type="paragraph" w:styleId="bekMetni">
    <w:name w:val="Block Text"/>
    <w:basedOn w:val="GvdeMetni"/>
    <w:next w:val="GvdeMetni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ResimYazs">
    <w:name w:val="caption"/>
    <w:basedOn w:val="Normal"/>
    <w:link w:val="ResimYazsChar"/>
    <w:pPr>
      <w:spacing w:after="120"/>
    </w:pPr>
    <w:rPr>
      <w:i/>
    </w:rPr>
  </w:style>
  <w:style w:type="paragraph" w:customStyle="1" w:styleId="TableCaption">
    <w:name w:val="Table Caption"/>
    <w:basedOn w:val="ResimYazs"/>
    <w:pPr>
      <w:keepNext/>
    </w:pPr>
  </w:style>
  <w:style w:type="paragraph" w:customStyle="1" w:styleId="ImageCaption">
    <w:name w:val="Image Caption"/>
    <w:basedOn w:val="ResimYazs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ResimYazsChar">
    <w:name w:val="Resim Yazısı Char"/>
    <w:basedOn w:val="VarsaylanParagrafYazTipi"/>
    <w:link w:val="ResimYazs"/>
  </w:style>
  <w:style w:type="character" w:customStyle="1" w:styleId="VerbatimChar">
    <w:name w:val="Verbatim Char"/>
    <w:basedOn w:val="ResimYazsChar"/>
    <w:link w:val="SourceCode"/>
    <w:rPr>
      <w:rFonts w:ascii="Consolas" w:hAnsi="Consolas"/>
      <w:sz w:val="22"/>
    </w:rPr>
  </w:style>
  <w:style w:type="character" w:styleId="DipnotBavurusu">
    <w:name w:val="footnote reference"/>
    <w:basedOn w:val="ResimYazsChar"/>
    <w:rPr>
      <w:vertAlign w:val="superscript"/>
    </w:rPr>
  </w:style>
  <w:style w:type="character" w:styleId="Kpr">
    <w:name w:val="Hyperlink"/>
    <w:basedOn w:val="ResimYazsChar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Balk1">
    <w:name w:val="heading 1"/>
    <w:basedOn w:val="Normal"/>
    <w:next w:val="GvdeMetn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</w:style>
  <w:style w:type="paragraph" w:customStyle="1" w:styleId="Compact">
    <w:name w:val="Compact"/>
    <w:basedOn w:val="GvdeMetni"/>
    <w:qFormat/>
    <w:pPr>
      <w:spacing w:before="36" w:after="36"/>
    </w:pPr>
  </w:style>
  <w:style w:type="paragraph" w:styleId="KonuBal">
    <w:name w:val="Title"/>
    <w:basedOn w:val="Normal"/>
    <w:next w:val="GvdeMetni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KonuBal">
    <w:name w:val="Subtitle"/>
    <w:basedOn w:val="KonuBal"/>
    <w:next w:val="GvdeMetni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pPr>
      <w:keepNext/>
      <w:keepLines/>
      <w:jc w:val="center"/>
    </w:pPr>
  </w:style>
  <w:style w:type="paragraph" w:styleId="Tarih">
    <w:name w:val="Date"/>
    <w:next w:val="GvdeMetni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</w:style>
  <w:style w:type="paragraph" w:styleId="bekMetni">
    <w:name w:val="Block Text"/>
    <w:basedOn w:val="GvdeMetni"/>
    <w:next w:val="GvdeMetni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ResimYazs">
    <w:name w:val="caption"/>
    <w:basedOn w:val="Normal"/>
    <w:link w:val="ResimYazsChar"/>
    <w:pPr>
      <w:spacing w:after="120"/>
    </w:pPr>
    <w:rPr>
      <w:i/>
    </w:rPr>
  </w:style>
  <w:style w:type="paragraph" w:customStyle="1" w:styleId="TableCaption">
    <w:name w:val="Table Caption"/>
    <w:basedOn w:val="ResimYazs"/>
    <w:pPr>
      <w:keepNext/>
    </w:pPr>
  </w:style>
  <w:style w:type="paragraph" w:customStyle="1" w:styleId="ImageCaption">
    <w:name w:val="Image Caption"/>
    <w:basedOn w:val="ResimYazs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ResimYazsChar">
    <w:name w:val="Resim Yazısı Char"/>
    <w:basedOn w:val="VarsaylanParagrafYazTipi"/>
    <w:link w:val="ResimYazs"/>
  </w:style>
  <w:style w:type="character" w:customStyle="1" w:styleId="VerbatimChar">
    <w:name w:val="Verbatim Char"/>
    <w:basedOn w:val="ResimYazsChar"/>
    <w:link w:val="SourceCode"/>
    <w:rPr>
      <w:rFonts w:ascii="Consolas" w:hAnsi="Consolas"/>
      <w:sz w:val="22"/>
    </w:rPr>
  </w:style>
  <w:style w:type="character" w:styleId="DipnotBavurusu">
    <w:name w:val="footnote reference"/>
    <w:basedOn w:val="ResimYazsChar"/>
    <w:rPr>
      <w:vertAlign w:val="superscript"/>
    </w:rPr>
  </w:style>
  <w:style w:type="character" w:styleId="Kpr">
    <w:name w:val="Hyperlink"/>
    <w:basedOn w:val="ResimYazsChar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 KISAS</dc:creator>
  <cp:lastModifiedBy>Seren KISAS</cp:lastModifiedBy>
  <cp:revision>3</cp:revision>
  <cp:lastPrinted>2018-10-25T08:04:00Z</cp:lastPrinted>
  <dcterms:created xsi:type="dcterms:W3CDTF">2018-10-25T08:04:00Z</dcterms:created>
  <dcterms:modified xsi:type="dcterms:W3CDTF">2018-10-25T08:28:00Z</dcterms:modified>
</cp:coreProperties>
</file>