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CA" w:rsidRPr="00EA4CCB" w:rsidRDefault="000B75CA" w:rsidP="000B75CA">
      <w:pPr>
        <w:pStyle w:val="Balk2"/>
        <w:rPr>
          <w:rFonts w:ascii="Times New Roman" w:hAnsi="Times New Roman" w:cs="Times New Roman"/>
          <w:sz w:val="24"/>
          <w:szCs w:val="24"/>
        </w:rPr>
      </w:pPr>
      <w:bookmarkStart w:id="0" w:name="_Toc128199228"/>
      <w:r w:rsidRPr="00EA4CCB">
        <w:rPr>
          <w:rFonts w:ascii="Times New Roman" w:hAnsi="Times New Roman" w:cs="Times New Roman"/>
          <w:sz w:val="24"/>
          <w:szCs w:val="24"/>
        </w:rPr>
        <w:t xml:space="preserve">SERMAYE PİYASASI KURULUNUN </w:t>
      </w:r>
      <w:r w:rsidR="00EA4CCB" w:rsidRPr="00EA4CCB">
        <w:rPr>
          <w:rFonts w:ascii="Times New Roman" w:hAnsi="Times New Roman" w:cs="Times New Roman"/>
          <w:sz w:val="24"/>
          <w:szCs w:val="24"/>
        </w:rPr>
        <w:t>06</w:t>
      </w:r>
      <w:r w:rsidRPr="00EA4CCB">
        <w:rPr>
          <w:rFonts w:ascii="Times New Roman" w:hAnsi="Times New Roman" w:cs="Times New Roman"/>
          <w:sz w:val="24"/>
          <w:szCs w:val="24"/>
        </w:rPr>
        <w:t>.</w:t>
      </w:r>
      <w:r w:rsidR="00EA4CCB" w:rsidRPr="00EA4CCB">
        <w:rPr>
          <w:rFonts w:ascii="Times New Roman" w:hAnsi="Times New Roman" w:cs="Times New Roman"/>
          <w:sz w:val="24"/>
          <w:szCs w:val="24"/>
        </w:rPr>
        <w:t>12</w:t>
      </w:r>
      <w:r w:rsidRPr="00EA4CCB">
        <w:rPr>
          <w:rFonts w:ascii="Times New Roman" w:hAnsi="Times New Roman" w:cs="Times New Roman"/>
          <w:sz w:val="24"/>
          <w:szCs w:val="24"/>
        </w:rPr>
        <w:t xml:space="preserve">.2018 TARİH VE </w:t>
      </w:r>
      <w:r w:rsidR="00EA4CCB" w:rsidRPr="00EA4CCB">
        <w:rPr>
          <w:rFonts w:ascii="Times New Roman" w:hAnsi="Times New Roman" w:cs="Times New Roman"/>
          <w:sz w:val="24"/>
          <w:szCs w:val="24"/>
        </w:rPr>
        <w:t>2018/54</w:t>
      </w:r>
      <w:r w:rsidRPr="00EA4CCB">
        <w:rPr>
          <w:rFonts w:ascii="Times New Roman" w:hAnsi="Times New Roman" w:cs="Times New Roman"/>
          <w:sz w:val="24"/>
          <w:szCs w:val="24"/>
        </w:rPr>
        <w:t xml:space="preserve"> SAYILI İLKE KARARI</w:t>
      </w:r>
      <w:bookmarkEnd w:id="0"/>
    </w:p>
    <w:p w:rsidR="00D85263" w:rsidRPr="00EA4CCB" w:rsidRDefault="00D85263" w:rsidP="000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CCB" w:rsidRPr="00DE6BC4" w:rsidRDefault="00EA4CCB" w:rsidP="00EA4CCB">
      <w:pPr>
        <w:widowControl w:val="0"/>
        <w:numPr>
          <w:ilvl w:val="1"/>
          <w:numId w:val="4"/>
        </w:numPr>
        <w:tabs>
          <w:tab w:val="left" w:pos="965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bookmarkStart w:id="1" w:name="_GoBack"/>
      <w:bookmarkEnd w:id="1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Kurul Karar Organının i-SPK.4632 s.kn.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17.3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.ğ (23.11.2018 tarihli ve 58/1355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s.k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.) sayılı İlke</w:t>
      </w:r>
      <w:r w:rsidRPr="00DE6BC4">
        <w:rPr>
          <w:rFonts w:ascii="Times New Roman" w:eastAsia="Arial" w:hAnsi="Times New Roman" w:cs="Times New Roman"/>
          <w:spacing w:val="-1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Kararı:</w:t>
      </w:r>
    </w:p>
    <w:p w:rsidR="00EA4CCB" w:rsidRPr="00DE6BC4" w:rsidRDefault="00EA4CCB" w:rsidP="00EA4CCB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</w:p>
    <w:p w:rsidR="00EA4CCB" w:rsidRPr="00DE6BC4" w:rsidRDefault="00EA4CCB" w:rsidP="00EA4CCB">
      <w:pPr>
        <w:widowControl w:val="0"/>
        <w:autoSpaceDE w:val="0"/>
        <w:autoSpaceDN w:val="0"/>
        <w:spacing w:after="0" w:line="278" w:lineRule="auto"/>
        <w:ind w:left="112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Kurul’un 23.11.2018 tarih ve 58/1355 sayılı toplantısında, Kurulumuzun i-SPK.4632 s.kn.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17.3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(03.03.2016 tarih ve 7/223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s.k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.) sayılı İlke Kararı olarak kabul edilmiş olan “Emeklilik Yatırım Fonlarına İlişkin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Rehber”in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;</w:t>
      </w:r>
    </w:p>
    <w:p w:rsidR="00EA4CCB" w:rsidRPr="00DE6BC4" w:rsidRDefault="00EA4CCB" w:rsidP="00EA4CCB">
      <w:pPr>
        <w:widowControl w:val="0"/>
        <w:numPr>
          <w:ilvl w:val="0"/>
          <w:numId w:val="3"/>
        </w:numPr>
        <w:tabs>
          <w:tab w:val="left" w:pos="965"/>
        </w:tabs>
        <w:autoSpaceDE w:val="0"/>
        <w:autoSpaceDN w:val="0"/>
        <w:spacing w:before="120" w:after="0" w:line="278" w:lineRule="auto"/>
        <w:ind w:right="132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“1.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Fon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Türleri”</w:t>
      </w:r>
      <w:r w:rsidRPr="00DE6BC4">
        <w:rPr>
          <w:rFonts w:ascii="Times New Roman" w:eastAsia="Arial" w:hAnsi="Times New Roman" w:cs="Times New Roman"/>
          <w:spacing w:val="-1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başlıklı</w:t>
      </w:r>
      <w:r w:rsidRPr="00DE6BC4">
        <w:rPr>
          <w:rFonts w:ascii="Times New Roman" w:eastAsia="Arial" w:hAnsi="Times New Roman" w:cs="Times New Roman"/>
          <w:spacing w:val="-1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maddesinin</w:t>
      </w:r>
      <w:r w:rsidRPr="00DE6BC4">
        <w:rPr>
          <w:rFonts w:ascii="Times New Roman" w:eastAsia="Arial" w:hAnsi="Times New Roman" w:cs="Times New Roman"/>
          <w:spacing w:val="-1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(J)</w:t>
      </w:r>
      <w:r w:rsidRPr="00DE6BC4">
        <w:rPr>
          <w:rFonts w:ascii="Times New Roman" w:eastAsia="Arial" w:hAnsi="Times New Roman" w:cs="Times New Roman"/>
          <w:spacing w:val="-1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bendinin</w:t>
      </w:r>
      <w:r w:rsidRPr="00DE6BC4">
        <w:rPr>
          <w:rFonts w:ascii="Times New Roman" w:eastAsia="Arial" w:hAnsi="Times New Roman" w:cs="Times New Roman"/>
          <w:spacing w:val="-1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aşağıdaki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şekilde</w:t>
      </w:r>
      <w:r w:rsidRPr="00DE6BC4">
        <w:rPr>
          <w:rFonts w:ascii="Times New Roman" w:eastAsia="Arial" w:hAnsi="Times New Roman" w:cs="Times New Roman"/>
          <w:spacing w:val="-1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değiştirilmesine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anılan</w:t>
      </w:r>
      <w:r w:rsidRPr="00DE6BC4">
        <w:rPr>
          <w:rFonts w:ascii="Times New Roman" w:eastAsia="Arial" w:hAnsi="Times New Roman" w:cs="Times New Roman"/>
          <w:spacing w:val="-1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maddeye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(L)</w:t>
      </w:r>
      <w:r w:rsidRPr="00DE6BC4">
        <w:rPr>
          <w:rFonts w:ascii="Times New Roman" w:eastAsia="Arial" w:hAnsi="Times New Roman" w:cs="Times New Roman"/>
          <w:spacing w:val="-1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(M)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bentleri olarak aşağıdaki hükümlerin</w:t>
      </w:r>
      <w:r w:rsidRPr="00DE6BC4">
        <w:rPr>
          <w:rFonts w:ascii="Times New Roman" w:eastAsia="Arial" w:hAnsi="Times New Roman" w:cs="Times New Roman"/>
          <w:spacing w:val="-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eklenmesine,</w:t>
      </w:r>
    </w:p>
    <w:p w:rsidR="00EA4CCB" w:rsidRPr="00DE6BC4" w:rsidRDefault="00EA4CCB" w:rsidP="00EA4CCB">
      <w:pPr>
        <w:widowControl w:val="0"/>
        <w:autoSpaceDE w:val="0"/>
        <w:autoSpaceDN w:val="0"/>
        <w:spacing w:after="0" w:line="278" w:lineRule="auto"/>
        <w:ind w:left="112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“J. Standart Fon: Bakanlık düzenlemeleri uyarınca, sisteme giriş aşamasında herhangi bir fon tercihinde bulunmayan katılımcıların birikimlerinin yatırıma yönlendirildiği fondur.</w:t>
      </w:r>
    </w:p>
    <w:p w:rsidR="00EA4CCB" w:rsidRPr="00DE6BC4" w:rsidRDefault="00EA4CCB" w:rsidP="00EA4CCB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78" w:lineRule="auto"/>
        <w:ind w:right="128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Başlangıç Fonu: İşverenleri aracılığıyla Kanun’un Ek-2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nci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ve Geçici 2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nci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maddesi kapsamında bireysel emeklilik sistemine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dahil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edilen çalışanların birikimlerinin Bakanlık düzenlemeleri uyarınca yatırıma yönlendirildiği</w:t>
      </w:r>
      <w:r w:rsidRPr="00DE6BC4">
        <w:rPr>
          <w:rFonts w:ascii="Times New Roman" w:eastAsia="Arial" w:hAnsi="Times New Roman" w:cs="Times New Roman"/>
          <w:spacing w:val="-1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fondur.</w:t>
      </w:r>
    </w:p>
    <w:p w:rsidR="00EA4CCB" w:rsidRPr="00DE6BC4" w:rsidRDefault="00EA4CCB" w:rsidP="00EA4CCB">
      <w:pPr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after="0" w:line="278" w:lineRule="auto"/>
        <w:ind w:right="126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OKS Standart Fon: İşverenleri aracılığıyla Kanun’un Ek-2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nci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ve Geçici 2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nci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maddesi kapsamında bireysel emeklilik sistemine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dahil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edilen çalışanların birikimlerinin Bakanlık düzenlemeleri uyarınca yatırıma yönlendirildiği standart</w:t>
      </w:r>
      <w:r w:rsidRPr="00DE6BC4">
        <w:rPr>
          <w:rFonts w:ascii="Times New Roman" w:eastAsia="Arial" w:hAnsi="Times New Roman" w:cs="Times New Roman"/>
          <w:spacing w:val="-3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fondur.”</w:t>
      </w:r>
    </w:p>
    <w:p w:rsidR="00EA4CCB" w:rsidRPr="00DE6BC4" w:rsidRDefault="00EA4CCB" w:rsidP="00EA4CCB">
      <w:pPr>
        <w:widowControl w:val="0"/>
        <w:numPr>
          <w:ilvl w:val="0"/>
          <w:numId w:val="3"/>
        </w:numPr>
        <w:tabs>
          <w:tab w:val="left" w:pos="965"/>
        </w:tabs>
        <w:autoSpaceDE w:val="0"/>
        <w:autoSpaceDN w:val="0"/>
        <w:spacing w:before="120" w:after="0" w:line="240" w:lineRule="auto"/>
        <w:ind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“1.2. Fon Unvanına İlişkin Esaslar” başlıklı maddesinin (k) bendinin aşağıdaki şekilde</w:t>
      </w:r>
      <w:r w:rsidRPr="00DE6BC4">
        <w:rPr>
          <w:rFonts w:ascii="Times New Roman" w:eastAsia="Arial" w:hAnsi="Times New Roman" w:cs="Times New Roman"/>
          <w:spacing w:val="-2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değiştirilmesine,</w:t>
      </w:r>
    </w:p>
    <w:p w:rsidR="00EA4CCB" w:rsidRPr="00DE6BC4" w:rsidRDefault="00EA4CCB" w:rsidP="00EA4CCB">
      <w:pPr>
        <w:widowControl w:val="0"/>
        <w:autoSpaceDE w:val="0"/>
        <w:autoSpaceDN w:val="0"/>
        <w:spacing w:before="33" w:after="0" w:line="278" w:lineRule="auto"/>
        <w:ind w:left="112" w:right="76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“k)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Katılım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bankacılığı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prensiplerine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uygun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varlıklardan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oluşan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fonların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unvanında,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fon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türünün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yanı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sıra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“Katılım”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ibaresine de yer</w:t>
      </w:r>
      <w:r w:rsidRPr="00DE6BC4">
        <w:rPr>
          <w:rFonts w:ascii="Times New Roman" w:eastAsia="Arial" w:hAnsi="Times New Roman" w:cs="Times New Roman"/>
          <w:spacing w:val="-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verilir.”</w:t>
      </w:r>
    </w:p>
    <w:p w:rsidR="00EA4CCB" w:rsidRPr="00DE6BC4" w:rsidRDefault="00EA4CCB" w:rsidP="00EA4CCB">
      <w:pPr>
        <w:widowControl w:val="0"/>
        <w:numPr>
          <w:ilvl w:val="0"/>
          <w:numId w:val="3"/>
        </w:numPr>
        <w:tabs>
          <w:tab w:val="left" w:pos="965"/>
        </w:tabs>
        <w:autoSpaceDE w:val="0"/>
        <w:autoSpaceDN w:val="0"/>
        <w:spacing w:before="120" w:after="0" w:line="240" w:lineRule="auto"/>
        <w:ind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3.6.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nolu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madde olarak aşağıdaki ifadelerin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eklenmesine,</w:t>
      </w:r>
    </w:p>
    <w:p w:rsidR="00EA4CCB" w:rsidRPr="00DE6BC4" w:rsidRDefault="00EA4CCB" w:rsidP="00EA4CCB">
      <w:pPr>
        <w:widowControl w:val="0"/>
        <w:autoSpaceDE w:val="0"/>
        <w:autoSpaceDN w:val="0"/>
        <w:spacing w:before="93" w:after="0" w:line="240" w:lineRule="auto"/>
        <w:ind w:left="678"/>
        <w:outlineLvl w:val="0"/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  <w:t>“3.6. Standart Fonlara İlişkin Esaslar</w:t>
      </w:r>
    </w:p>
    <w:p w:rsidR="00EA4CCB" w:rsidRPr="00DE6BC4" w:rsidRDefault="00EA4CCB" w:rsidP="00EA4CCB">
      <w:pPr>
        <w:widowControl w:val="0"/>
        <w:autoSpaceDE w:val="0"/>
        <w:autoSpaceDN w:val="0"/>
        <w:spacing w:before="33" w:after="0" w:line="240" w:lineRule="auto"/>
        <w:ind w:left="678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“Standart fon olarak tanımlanan fon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portföyünün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;</w:t>
      </w:r>
    </w:p>
    <w:p w:rsidR="00EA4CCB" w:rsidRPr="00DE6BC4" w:rsidRDefault="00EA4CCB" w:rsidP="00EA4CCB">
      <w:pPr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spacing w:before="33" w:after="0" w:line="278" w:lineRule="auto"/>
        <w:ind w:right="137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Asgari yüzde altmışı, Bakanlıkça ihraç edilen Türk Lirası cinsinden borçlanma araçlarında, gelir ortaklığı senetlerinde veya kira</w:t>
      </w:r>
      <w:r w:rsidRPr="00DE6BC4">
        <w:rPr>
          <w:rFonts w:ascii="Times New Roman" w:eastAsia="Arial" w:hAnsi="Times New Roman" w:cs="Times New Roman"/>
          <w:spacing w:val="-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sertifikalarında,</w:t>
      </w:r>
    </w:p>
    <w:p w:rsidR="00EA4CCB" w:rsidRPr="00DE6BC4" w:rsidRDefault="00EA4CCB" w:rsidP="00EA4CCB">
      <w:pPr>
        <w:widowControl w:val="0"/>
        <w:numPr>
          <w:ilvl w:val="1"/>
          <w:numId w:val="3"/>
        </w:numPr>
        <w:tabs>
          <w:tab w:val="left" w:pos="890"/>
        </w:tabs>
        <w:autoSpaceDE w:val="0"/>
        <w:autoSpaceDN w:val="0"/>
        <w:spacing w:after="0" w:line="240" w:lineRule="auto"/>
        <w:ind w:left="889" w:hanging="211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Azami yüzde</w:t>
      </w:r>
      <w:r w:rsidRPr="00DE6BC4">
        <w:rPr>
          <w:rFonts w:ascii="Times New Roman" w:eastAsia="Arial" w:hAnsi="Times New Roman" w:cs="Times New Roman"/>
          <w:spacing w:val="-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kırkı;</w:t>
      </w:r>
    </w:p>
    <w:p w:rsidR="00EA4CCB" w:rsidRPr="00DE6BC4" w:rsidRDefault="00EA4CCB" w:rsidP="00EA4CCB">
      <w:pPr>
        <w:widowControl w:val="0"/>
        <w:numPr>
          <w:ilvl w:val="0"/>
          <w:numId w:val="1"/>
        </w:numPr>
        <w:tabs>
          <w:tab w:val="left" w:pos="847"/>
        </w:tabs>
        <w:autoSpaceDE w:val="0"/>
        <w:autoSpaceDN w:val="0"/>
        <w:spacing w:before="33" w:after="0" w:line="278" w:lineRule="auto"/>
        <w:ind w:right="138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Türk Lirası cinsinden ve Borsada işlem görmesi kaydıyla bankalar veya yatırım yapılabilir seviyede derecelendirme notuna sahip olan diğer ihraççılar tarafından ihraç edilen borçlanma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araçlarında,</w:t>
      </w:r>
    </w:p>
    <w:p w:rsidR="00EA4CCB" w:rsidRPr="00DE6BC4" w:rsidRDefault="00EA4CCB" w:rsidP="00EA4CCB">
      <w:pPr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after="0" w:line="278" w:lineRule="auto"/>
        <w:ind w:right="128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Türk Lirası cinsinden Borsada işlem görmesi kaydıyla fon kullanıcısı bankalar olan veya kendisi veya fon kullanıcısı yatırım yapılabilir seviyede derecelendirme notuna sahip olan kira</w:t>
      </w:r>
      <w:r w:rsidRPr="00DE6BC4">
        <w:rPr>
          <w:rFonts w:ascii="Times New Roman" w:eastAsia="Arial" w:hAnsi="Times New Roman" w:cs="Times New Roman"/>
          <w:spacing w:val="-1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sertifikalarında,</w:t>
      </w:r>
    </w:p>
    <w:p w:rsidR="00EA4CCB" w:rsidRPr="00DE6BC4" w:rsidRDefault="00EA4CCB" w:rsidP="00EA4CCB">
      <w:pPr>
        <w:widowControl w:val="0"/>
        <w:numPr>
          <w:ilvl w:val="0"/>
          <w:numId w:val="1"/>
        </w:numPr>
        <w:tabs>
          <w:tab w:val="left" w:pos="903"/>
        </w:tabs>
        <w:autoSpaceDE w:val="0"/>
        <w:autoSpaceDN w:val="0"/>
        <w:spacing w:after="0" w:line="240" w:lineRule="auto"/>
        <w:ind w:left="902" w:hanging="224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İpotek ve varlık teminatlı menkul kıymetlerde, ipoteğe ve varlığa dayalı menkul kıymetlerde,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vaad</w:t>
      </w:r>
      <w:proofErr w:type="spellEnd"/>
      <w:r w:rsidRPr="00DE6BC4">
        <w:rPr>
          <w:rFonts w:ascii="Times New Roman" w:eastAsia="Arial" w:hAnsi="Times New Roman" w:cs="Times New Roman"/>
          <w:spacing w:val="-2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sözleşmelerinde,</w:t>
      </w:r>
    </w:p>
    <w:p w:rsidR="00EA4CCB" w:rsidRPr="00DE6BC4" w:rsidRDefault="00EA4CCB" w:rsidP="00EA4CCB">
      <w:pPr>
        <w:widowControl w:val="0"/>
        <w:numPr>
          <w:ilvl w:val="1"/>
          <w:numId w:val="3"/>
        </w:numPr>
        <w:tabs>
          <w:tab w:val="left" w:pos="907"/>
        </w:tabs>
        <w:autoSpaceDE w:val="0"/>
        <w:autoSpaceDN w:val="0"/>
        <w:spacing w:before="33" w:after="0" w:line="278" w:lineRule="auto"/>
        <w:ind w:right="134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Azami yüzde otuzu BIST 100, BIST Sürdürülebilirlik Endeksi ve Borsa İstanbul A.Ş. tarafından hesaplanan katılım endekslerindeki</w:t>
      </w:r>
      <w:r w:rsidRPr="00DE6BC4">
        <w:rPr>
          <w:rFonts w:ascii="Times New Roman" w:eastAsia="Arial" w:hAnsi="Times New Roman" w:cs="Times New Roman"/>
          <w:spacing w:val="-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paylarda,</w:t>
      </w:r>
    </w:p>
    <w:p w:rsidR="00EA4CCB" w:rsidRPr="00DE6BC4" w:rsidRDefault="00EA4CCB" w:rsidP="00EA4CCB">
      <w:pPr>
        <w:widowControl w:val="0"/>
        <w:numPr>
          <w:ilvl w:val="1"/>
          <w:numId w:val="3"/>
        </w:numPr>
        <w:tabs>
          <w:tab w:val="left" w:pos="890"/>
        </w:tabs>
        <w:autoSpaceDE w:val="0"/>
        <w:autoSpaceDN w:val="0"/>
        <w:spacing w:after="0" w:line="240" w:lineRule="auto"/>
        <w:ind w:left="889" w:hanging="211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Azami yüzde yirmi beşi Türk Lirası cinsinden vadeli mevduatta, katılma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hesabında,</w:t>
      </w:r>
    </w:p>
    <w:p w:rsidR="00EA4CCB" w:rsidRPr="00DE6BC4" w:rsidRDefault="00EA4CCB" w:rsidP="00EA4CCB">
      <w:pPr>
        <w:widowControl w:val="0"/>
        <w:numPr>
          <w:ilvl w:val="1"/>
          <w:numId w:val="3"/>
        </w:numPr>
        <w:tabs>
          <w:tab w:val="left" w:pos="890"/>
        </w:tabs>
        <w:autoSpaceDE w:val="0"/>
        <w:autoSpaceDN w:val="0"/>
        <w:spacing w:before="32" w:after="0" w:line="278" w:lineRule="auto"/>
        <w:ind w:left="678" w:right="1135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Azami yüzde ikisi ters repoda ve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Takasbank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Para Piyasası ve Yurtiçi Organize Para Piyasası İşlemlerinde yatırıma</w:t>
      </w:r>
      <w:r w:rsidRPr="00DE6BC4">
        <w:rPr>
          <w:rFonts w:ascii="Times New Roman" w:eastAsia="Arial" w:hAnsi="Times New Roman" w:cs="Times New Roman"/>
          <w:spacing w:val="-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yönlendirilir.</w:t>
      </w:r>
    </w:p>
    <w:p w:rsidR="00EA4CCB" w:rsidRPr="00DE6BC4" w:rsidRDefault="00EA4CCB" w:rsidP="00EA4CCB">
      <w:pPr>
        <w:widowControl w:val="0"/>
        <w:autoSpaceDE w:val="0"/>
        <w:autoSpaceDN w:val="0"/>
        <w:spacing w:after="0" w:line="278" w:lineRule="auto"/>
        <w:ind w:left="112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Bakanlıkça yapılanlar hariç, tek bir ihraççı tarafından ihraç edilen borçlanma araçlarına ve kira sertifikalarına fon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portföyünün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yüzde onundan fazlası yatırılamaz.</w:t>
      </w:r>
    </w:p>
    <w:p w:rsidR="00EA4CCB" w:rsidRPr="00DE6BC4" w:rsidRDefault="00EA4CCB" w:rsidP="00EA4CCB">
      <w:pPr>
        <w:widowControl w:val="0"/>
        <w:autoSpaceDE w:val="0"/>
        <w:autoSpaceDN w:val="0"/>
        <w:spacing w:after="0" w:line="278" w:lineRule="auto"/>
        <w:ind w:left="112" w:right="76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Standart fonların portföyüne sadece bu maddede belirtilen varlık ve işlemler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dahil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edilebilir. Yönetmelik’te ve Rehber’de yer alan ve bu maddede belirtilmeyen diğer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sınırlamalarına ilişkin hükümler saklıdır.</w:t>
      </w:r>
    </w:p>
    <w:p w:rsidR="00EA4CCB" w:rsidRPr="00DE6BC4" w:rsidRDefault="00EA4CCB" w:rsidP="00EA4CCB">
      <w:pPr>
        <w:widowControl w:val="0"/>
        <w:autoSpaceDE w:val="0"/>
        <w:autoSpaceDN w:val="0"/>
        <w:spacing w:before="76" w:after="0" w:line="278" w:lineRule="auto"/>
        <w:ind w:left="112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Yeni kurulacak bir fonun yahut mevcut kurulmuş fonlardan birinin, yatırım stratejisinin bu maddede belirtilen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sınırlamalarına uyması kaydıyla, standart fon olarak belirlenmesi mümkündür.”</w:t>
      </w:r>
    </w:p>
    <w:p w:rsidR="00EA4CCB" w:rsidRPr="00DE6BC4" w:rsidRDefault="00EA4CCB" w:rsidP="00EA4CCB">
      <w:pPr>
        <w:widowControl w:val="0"/>
        <w:numPr>
          <w:ilvl w:val="0"/>
          <w:numId w:val="3"/>
        </w:numPr>
        <w:tabs>
          <w:tab w:val="left" w:pos="965"/>
        </w:tabs>
        <w:autoSpaceDE w:val="0"/>
        <w:autoSpaceDN w:val="0"/>
        <w:spacing w:before="61" w:after="0" w:line="240" w:lineRule="auto"/>
        <w:ind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3.7.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nolu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madde olarak aşağıdaki ifadelerin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eklenmesine,</w:t>
      </w:r>
    </w:p>
    <w:p w:rsidR="00EA4CCB" w:rsidRPr="00DE6BC4" w:rsidRDefault="00EA4CCB" w:rsidP="00EA4CCB">
      <w:pPr>
        <w:widowControl w:val="0"/>
        <w:autoSpaceDE w:val="0"/>
        <w:autoSpaceDN w:val="0"/>
        <w:spacing w:before="93" w:after="0" w:line="278" w:lineRule="auto"/>
        <w:ind w:left="112" w:firstLine="566"/>
        <w:outlineLvl w:val="0"/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  <w:t xml:space="preserve">“3.7. İşverenleri Aracılığıyla Kanun’un Ek-2 </w:t>
      </w:r>
      <w:proofErr w:type="spellStart"/>
      <w:r w:rsidRPr="00DE6BC4"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  <w:t>nci</w:t>
      </w:r>
      <w:proofErr w:type="spellEnd"/>
      <w:r w:rsidRPr="00DE6BC4"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  <w:t xml:space="preserve"> ve Geçici 2 </w:t>
      </w:r>
      <w:proofErr w:type="spellStart"/>
      <w:r w:rsidRPr="00DE6BC4"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  <w:t>nci</w:t>
      </w:r>
      <w:proofErr w:type="spellEnd"/>
      <w:r w:rsidRPr="00DE6BC4"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  <w:t xml:space="preserve"> Maddesi Kapsamında Bireysel Emeklilik Sistemine </w:t>
      </w:r>
      <w:proofErr w:type="gramStart"/>
      <w:r w:rsidRPr="00DE6BC4"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  <w:t>Dahil</w:t>
      </w:r>
      <w:proofErr w:type="gramEnd"/>
      <w:r w:rsidRPr="00DE6BC4"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  <w:t xml:space="preserve"> Edilen Çalışanlara Sunulan Fonlara İlişkin Esaslar</w:t>
      </w:r>
    </w:p>
    <w:p w:rsidR="00EA4CCB" w:rsidRPr="00DE6BC4" w:rsidRDefault="00EA4CCB" w:rsidP="00EA4CCB">
      <w:pPr>
        <w:widowControl w:val="0"/>
        <w:numPr>
          <w:ilvl w:val="2"/>
          <w:numId w:val="8"/>
        </w:numPr>
        <w:tabs>
          <w:tab w:val="left" w:pos="1183"/>
        </w:tabs>
        <w:autoSpaceDE w:val="0"/>
        <w:autoSpaceDN w:val="0"/>
        <w:spacing w:before="59" w:after="0" w:line="240" w:lineRule="auto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lastRenderedPageBreak/>
        <w:t>Başlangıç Fonlarına İlişkin</w:t>
      </w:r>
      <w:r w:rsidRPr="00DE6BC4">
        <w:rPr>
          <w:rFonts w:ascii="Times New Roman" w:eastAsia="Arial" w:hAnsi="Times New Roman" w:cs="Times New Roman"/>
          <w:spacing w:val="-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Esaslar</w:t>
      </w:r>
    </w:p>
    <w:p w:rsidR="00EA4CCB" w:rsidRPr="00DE6BC4" w:rsidRDefault="00EA4CCB" w:rsidP="00EA4CCB">
      <w:pPr>
        <w:widowControl w:val="0"/>
        <w:autoSpaceDE w:val="0"/>
        <w:autoSpaceDN w:val="0"/>
        <w:spacing w:before="33" w:after="0" w:line="278" w:lineRule="auto"/>
        <w:ind w:left="112" w:right="136" w:firstLine="566"/>
        <w:jc w:val="both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Başlangıç fonu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portföyünün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en az yüzde altmışı, Türk Lirası cinsinden mevduat ve/veya katılma hesabında; en az yüzde yirmisi Bakanlıkça ihraç edilen Türk Lirası cinsinden azami 184 gün vadeli ve/veya vadesine azami 184 gün kalmış borçlanma araçlarında,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gelir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ortaklığı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senetleri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ve/veya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kira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sertifikalarında,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kalanı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azami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184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gün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vadeli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ters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repoda,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Takasbank</w:t>
      </w:r>
      <w:proofErr w:type="spellEnd"/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ve/veya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yurt içi organize para piyasası işlemlerinde,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vaad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sözleşmelerinde, azami 184 gün vadeli ve/veya vadesine azami 184 gün kalmış ipotek ve varlık teminatlı menkul kıymetlerde, ipoteğe ve varlığa dayalı menkul kıymetlerde yatırıma</w:t>
      </w:r>
      <w:r w:rsidRPr="00DE6BC4">
        <w:rPr>
          <w:rFonts w:ascii="Times New Roman" w:eastAsia="Arial" w:hAnsi="Times New Roman" w:cs="Times New Roman"/>
          <w:spacing w:val="-2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yönlendirilir.</w:t>
      </w:r>
    </w:p>
    <w:p w:rsidR="00EA4CCB" w:rsidRPr="00DE6BC4" w:rsidRDefault="00EA4CCB" w:rsidP="00EA4CCB">
      <w:pPr>
        <w:widowControl w:val="0"/>
        <w:autoSpaceDE w:val="0"/>
        <w:autoSpaceDN w:val="0"/>
        <w:spacing w:after="0" w:line="278" w:lineRule="auto"/>
        <w:ind w:left="112" w:right="123" w:firstLine="566"/>
        <w:jc w:val="both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Başlangıç katılım fonu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portföyünün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en az yüzde altmışı Türk Lirası cinsinden katılma hesaplarında ve fon kullanıcısı bankalar olan borsada işlem gören Türk Lirası cinsinden azami 184 gün vadeli veya vadesine azami 184 gün kalmış kira sertifikalarında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olmak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üzere,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kalanı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azami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184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gün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vadeli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ve/veya</w:t>
      </w:r>
      <w:r w:rsidRPr="00DE6BC4">
        <w:rPr>
          <w:rFonts w:ascii="Times New Roman" w:eastAsia="Arial" w:hAnsi="Times New Roman" w:cs="Times New Roman"/>
          <w:spacing w:val="-6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vadesine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azami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184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gün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kalmış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katılım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esaslarına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uygun</w:t>
      </w:r>
      <w:r w:rsidRPr="00DE6BC4">
        <w:rPr>
          <w:rFonts w:ascii="Times New Roman" w:eastAsia="Arial" w:hAnsi="Times New Roman" w:cs="Times New Roman"/>
          <w:spacing w:val="-6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ipotek ve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varlık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teminatlı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menkul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kıymetlerde,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ipoteğe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varlığa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dayalı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menkul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kıymetlerde,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vaad</w:t>
      </w:r>
      <w:proofErr w:type="spellEnd"/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sözleşmelerinde,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Türk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Lirası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cinsinden Bakanlıkça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ihraç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edilen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184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gün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vadeli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ve/veya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vadesine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azami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184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gün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kalmış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gelir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ortaklığı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senetleri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ve/veya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kira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sertifikalarında yatırıma</w:t>
      </w:r>
      <w:r w:rsidRPr="00DE6BC4">
        <w:rPr>
          <w:rFonts w:ascii="Times New Roman" w:eastAsia="Arial" w:hAnsi="Times New Roman" w:cs="Times New Roman"/>
          <w:spacing w:val="-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yönlendirilir.</w:t>
      </w:r>
    </w:p>
    <w:p w:rsidR="00EA4CCB" w:rsidRPr="00DE6BC4" w:rsidRDefault="00EA4CCB" w:rsidP="00EA4CCB">
      <w:pPr>
        <w:widowControl w:val="0"/>
        <w:autoSpaceDE w:val="0"/>
        <w:autoSpaceDN w:val="0"/>
        <w:spacing w:after="0" w:line="278" w:lineRule="auto"/>
        <w:ind w:left="112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Başlangıç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fonlarının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portföyüne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sadece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bu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maddede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belirtilen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varlık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işlemler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dahil</w:t>
      </w:r>
      <w:proofErr w:type="gramEnd"/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edilebilir.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Yönetmelik’te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Rehber’de yer alan ve bu maddede belirtilmeyen diğer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sınırlamalarına ilişkin hükümler</w:t>
      </w:r>
      <w:r w:rsidRPr="00DE6BC4">
        <w:rPr>
          <w:rFonts w:ascii="Times New Roman" w:eastAsia="Arial" w:hAnsi="Times New Roman" w:cs="Times New Roman"/>
          <w:spacing w:val="-16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saklıdır.</w:t>
      </w:r>
    </w:p>
    <w:p w:rsidR="00EA4CCB" w:rsidRPr="00DE6BC4" w:rsidRDefault="00EA4CCB" w:rsidP="00EA4CCB">
      <w:pPr>
        <w:widowControl w:val="0"/>
        <w:numPr>
          <w:ilvl w:val="2"/>
          <w:numId w:val="8"/>
        </w:numPr>
        <w:tabs>
          <w:tab w:val="left" w:pos="1183"/>
        </w:tabs>
        <w:autoSpaceDE w:val="0"/>
        <w:autoSpaceDN w:val="0"/>
        <w:spacing w:before="60" w:after="0" w:line="240" w:lineRule="auto"/>
        <w:outlineLvl w:val="0"/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  <w:t>OKS Standart Fonlara İlişkin</w:t>
      </w:r>
      <w:r w:rsidRPr="00DE6BC4">
        <w:rPr>
          <w:rFonts w:ascii="Times New Roman" w:eastAsia="Arial" w:hAnsi="Times New Roman" w:cs="Times New Roman"/>
          <w:bCs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bCs/>
          <w:sz w:val="20"/>
          <w:szCs w:val="20"/>
          <w:lang w:eastAsia="tr-TR" w:bidi="tr-TR"/>
        </w:rPr>
        <w:t>Esaslar</w:t>
      </w:r>
    </w:p>
    <w:p w:rsidR="00EA4CCB" w:rsidRPr="00DE6BC4" w:rsidRDefault="00EA4CCB" w:rsidP="00EA4CCB">
      <w:pPr>
        <w:widowControl w:val="0"/>
        <w:autoSpaceDE w:val="0"/>
        <w:autoSpaceDN w:val="0"/>
        <w:spacing w:before="93" w:after="0" w:line="240" w:lineRule="auto"/>
        <w:ind w:left="678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OKS Standart Fon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portföyünün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;</w:t>
      </w:r>
    </w:p>
    <w:p w:rsidR="00EA4CCB" w:rsidRPr="00DE6BC4" w:rsidRDefault="00EA4CCB" w:rsidP="00EA4CCB">
      <w:pPr>
        <w:widowControl w:val="0"/>
        <w:numPr>
          <w:ilvl w:val="0"/>
          <w:numId w:val="7"/>
        </w:numPr>
        <w:tabs>
          <w:tab w:val="left" w:pos="883"/>
        </w:tabs>
        <w:autoSpaceDE w:val="0"/>
        <w:autoSpaceDN w:val="0"/>
        <w:spacing w:before="93" w:after="0" w:line="278" w:lineRule="auto"/>
        <w:ind w:right="137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Asgari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yüzde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ellisi;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Bakanlıkça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ihraç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edilen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Türk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Lirası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cinsinden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borçlanma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araçlarında,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gelir</w:t>
      </w:r>
      <w:r w:rsidRPr="00DE6BC4">
        <w:rPr>
          <w:rFonts w:ascii="Times New Roman" w:eastAsia="Arial" w:hAnsi="Times New Roman" w:cs="Times New Roman"/>
          <w:spacing w:val="-1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ortaklığı</w:t>
      </w:r>
      <w:r w:rsidRPr="00DE6BC4">
        <w:rPr>
          <w:rFonts w:ascii="Times New Roman" w:eastAsia="Arial" w:hAnsi="Times New Roman" w:cs="Times New Roman"/>
          <w:spacing w:val="-1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senetlerinde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veya kira sertifikalarında yatırıma</w:t>
      </w:r>
      <w:r w:rsidRPr="00DE6BC4">
        <w:rPr>
          <w:rFonts w:ascii="Times New Roman" w:eastAsia="Arial" w:hAnsi="Times New Roman" w:cs="Times New Roman"/>
          <w:spacing w:val="-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yönlendirilir.</w:t>
      </w:r>
    </w:p>
    <w:p w:rsidR="00EA4CCB" w:rsidRPr="00DE6BC4" w:rsidRDefault="00EA4CCB" w:rsidP="00EA4CCB">
      <w:pPr>
        <w:widowControl w:val="0"/>
        <w:numPr>
          <w:ilvl w:val="0"/>
          <w:numId w:val="7"/>
        </w:numPr>
        <w:tabs>
          <w:tab w:val="left" w:pos="890"/>
        </w:tabs>
        <w:autoSpaceDE w:val="0"/>
        <w:autoSpaceDN w:val="0"/>
        <w:spacing w:before="60" w:after="0" w:line="240" w:lineRule="auto"/>
        <w:ind w:left="889" w:hanging="211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Asgari yüzde</w:t>
      </w:r>
      <w:r w:rsidRPr="00DE6BC4">
        <w:rPr>
          <w:rFonts w:ascii="Times New Roman" w:eastAsia="Arial" w:hAnsi="Times New Roman" w:cs="Times New Roman"/>
          <w:spacing w:val="-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onu;</w:t>
      </w:r>
    </w:p>
    <w:p w:rsidR="00EA4CCB" w:rsidRPr="00DE6BC4" w:rsidRDefault="00EA4CCB" w:rsidP="00EA4CCB">
      <w:pPr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before="33" w:after="0" w:line="240" w:lineRule="auto"/>
        <w:ind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Girişim sermayesi yatırım fonu katılma</w:t>
      </w:r>
      <w:r w:rsidRPr="00DE6BC4">
        <w:rPr>
          <w:rFonts w:ascii="Times New Roman" w:eastAsia="Arial" w:hAnsi="Times New Roman" w:cs="Times New Roman"/>
          <w:spacing w:val="-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paylarında,</w:t>
      </w:r>
    </w:p>
    <w:p w:rsidR="00EA4CCB" w:rsidRPr="00DE6BC4" w:rsidRDefault="00EA4CCB" w:rsidP="00EA4CCB">
      <w:pPr>
        <w:widowControl w:val="0"/>
        <w:numPr>
          <w:ilvl w:val="0"/>
          <w:numId w:val="6"/>
        </w:numPr>
        <w:tabs>
          <w:tab w:val="left" w:pos="861"/>
        </w:tabs>
        <w:autoSpaceDE w:val="0"/>
        <w:autoSpaceDN w:val="0"/>
        <w:spacing w:before="33" w:after="0" w:line="240" w:lineRule="auto"/>
        <w:ind w:left="860" w:hanging="182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Gayrimenkul yatırım fonu katılma</w:t>
      </w:r>
      <w:r w:rsidRPr="00DE6BC4">
        <w:rPr>
          <w:rFonts w:ascii="Times New Roman" w:eastAsia="Arial" w:hAnsi="Times New Roman" w:cs="Times New Roman"/>
          <w:spacing w:val="-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paylarında,</w:t>
      </w:r>
    </w:p>
    <w:p w:rsidR="00EA4CCB" w:rsidRPr="00DE6BC4" w:rsidRDefault="00EA4CCB" w:rsidP="00EA4CCB">
      <w:pPr>
        <w:widowControl w:val="0"/>
        <w:numPr>
          <w:ilvl w:val="0"/>
          <w:numId w:val="6"/>
        </w:numPr>
        <w:tabs>
          <w:tab w:val="left" w:pos="907"/>
        </w:tabs>
        <w:autoSpaceDE w:val="0"/>
        <w:autoSpaceDN w:val="0"/>
        <w:spacing w:before="33" w:after="0" w:line="278" w:lineRule="auto"/>
        <w:ind w:right="137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Türkiye Varlık Fonu’nda ve/veya altyapı projelerine yatırım amacıyla kurulmuş şirketlerin ihraç ettiği sermaye piyasası araçlarında,</w:t>
      </w:r>
    </w:p>
    <w:p w:rsidR="00EA4CCB" w:rsidRPr="00DE6BC4" w:rsidRDefault="00EA4CCB" w:rsidP="00EA4CCB">
      <w:pPr>
        <w:widowControl w:val="0"/>
        <w:numPr>
          <w:ilvl w:val="0"/>
          <w:numId w:val="6"/>
        </w:numPr>
        <w:tabs>
          <w:tab w:val="left" w:pos="909"/>
        </w:tabs>
        <w:autoSpaceDE w:val="0"/>
        <w:autoSpaceDN w:val="0"/>
        <w:spacing w:after="0" w:line="278" w:lineRule="auto"/>
        <w:ind w:left="678" w:right="4887" w:firstLine="0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Kurulca uygun görülen diğer sermaye piyasası araçlarında yatırıma</w:t>
      </w:r>
      <w:r w:rsidRPr="00DE6BC4">
        <w:rPr>
          <w:rFonts w:ascii="Times New Roman" w:eastAsia="Arial" w:hAnsi="Times New Roman" w:cs="Times New Roman"/>
          <w:spacing w:val="-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yönlendirilir.</w:t>
      </w:r>
    </w:p>
    <w:p w:rsidR="00EA4CCB" w:rsidRPr="00DE6BC4" w:rsidRDefault="00EA4CCB" w:rsidP="00EA4CCB">
      <w:pPr>
        <w:widowControl w:val="0"/>
        <w:autoSpaceDE w:val="0"/>
        <w:autoSpaceDN w:val="0"/>
        <w:spacing w:before="60" w:after="0" w:line="278" w:lineRule="auto"/>
        <w:ind w:left="112" w:right="133" w:firstLine="566"/>
        <w:jc w:val="both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Girişim sermayesi yatırım fonu katılma paylarında yatırıma yönlendirilen tutar toplam fon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portföyünün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yüzde birinden az olamaz. Bu şartın 01.01.2019 tarihine kadar sağlanması zorunludur. Türkiye Varlık Fonu için herhangi bir yoğunlaşma sınırı uygulanmaz. Ayrıca, bu madde kapsamındaki sermaye piyasası araçları için borsa ve/veya organize piyasalarda işlem görme şartı aranmaz.</w:t>
      </w:r>
    </w:p>
    <w:p w:rsidR="00EA4CCB" w:rsidRPr="00DE6BC4" w:rsidRDefault="00EA4CCB" w:rsidP="00EA4CCB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59" w:after="0" w:line="240" w:lineRule="auto"/>
        <w:ind w:left="879" w:hanging="201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Azami yüzde</w:t>
      </w:r>
      <w:r w:rsidRPr="00DE6BC4">
        <w:rPr>
          <w:rFonts w:ascii="Times New Roman" w:eastAsia="Arial" w:hAnsi="Times New Roman" w:cs="Times New Roman"/>
          <w:spacing w:val="-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otuzu;</w:t>
      </w:r>
    </w:p>
    <w:p w:rsidR="00EA4CCB" w:rsidRPr="00DE6BC4" w:rsidRDefault="00EA4CCB" w:rsidP="00EA4CCB">
      <w:pPr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before="33" w:after="0" w:line="240" w:lineRule="auto"/>
        <w:ind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Ters repoda,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Takasbank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ve/veya yurt içi organize para piyasası</w:t>
      </w:r>
      <w:r w:rsidRPr="00DE6BC4">
        <w:rPr>
          <w:rFonts w:ascii="Times New Roman" w:eastAsia="Arial" w:hAnsi="Times New Roman" w:cs="Times New Roman"/>
          <w:spacing w:val="-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işlemlerinde,</w:t>
      </w:r>
    </w:p>
    <w:p w:rsidR="00EA4CCB" w:rsidRPr="00DE6BC4" w:rsidRDefault="00EA4CCB" w:rsidP="00EA4CCB">
      <w:pPr>
        <w:widowControl w:val="0"/>
        <w:numPr>
          <w:ilvl w:val="0"/>
          <w:numId w:val="5"/>
        </w:numPr>
        <w:tabs>
          <w:tab w:val="left" w:pos="861"/>
        </w:tabs>
        <w:autoSpaceDE w:val="0"/>
        <w:autoSpaceDN w:val="0"/>
        <w:spacing w:before="33" w:after="0" w:line="278" w:lineRule="auto"/>
        <w:ind w:right="122" w:firstLine="566"/>
        <w:jc w:val="both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Türk Lirası cinsinden borsada işlem görmesi kaydıyla bankalar veya yatırım yapılabilir seviyede derecelendirme notuna sahip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olan</w:t>
      </w:r>
      <w:r w:rsidRPr="00DE6BC4">
        <w:rPr>
          <w:rFonts w:ascii="Times New Roman" w:eastAsia="Arial" w:hAnsi="Times New Roman" w:cs="Times New Roman"/>
          <w:spacing w:val="-6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diğer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ihraççılar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tarafından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ihraç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edilen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borçlanma</w:t>
      </w:r>
      <w:r w:rsidRPr="00DE6BC4">
        <w:rPr>
          <w:rFonts w:ascii="Times New Roman" w:eastAsia="Arial" w:hAnsi="Times New Roman" w:cs="Times New Roman"/>
          <w:spacing w:val="-1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araçlarında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niteliği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itibari</w:t>
      </w:r>
      <w:r w:rsidRPr="00DE6BC4">
        <w:rPr>
          <w:rFonts w:ascii="Times New Roman" w:eastAsia="Arial" w:hAnsi="Times New Roman" w:cs="Times New Roman"/>
          <w:spacing w:val="-8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ile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borçlanma</w:t>
      </w:r>
      <w:r w:rsidRPr="00DE6BC4">
        <w:rPr>
          <w:rFonts w:ascii="Times New Roman" w:eastAsia="Arial" w:hAnsi="Times New Roman" w:cs="Times New Roman"/>
          <w:spacing w:val="-6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aracı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olduğu</w:t>
      </w:r>
      <w:r w:rsidRPr="00DE6BC4">
        <w:rPr>
          <w:rFonts w:ascii="Times New Roman" w:eastAsia="Arial" w:hAnsi="Times New Roman" w:cs="Times New Roman"/>
          <w:spacing w:val="-7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Kurulca</w:t>
      </w:r>
      <w:r w:rsidRPr="00DE6BC4">
        <w:rPr>
          <w:rFonts w:ascii="Times New Roman" w:eastAsia="Arial" w:hAnsi="Times New Roman" w:cs="Times New Roman"/>
          <w:spacing w:val="-9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kabul edilecek sermaye piyasası</w:t>
      </w:r>
      <w:r w:rsidRPr="00DE6BC4">
        <w:rPr>
          <w:rFonts w:ascii="Times New Roman" w:eastAsia="Arial" w:hAnsi="Times New Roman" w:cs="Times New Roman"/>
          <w:spacing w:val="-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araçlarında,</w:t>
      </w:r>
    </w:p>
    <w:p w:rsidR="00EA4CCB" w:rsidRPr="00DE6BC4" w:rsidRDefault="00EA4CCB" w:rsidP="00EA4CCB">
      <w:pPr>
        <w:widowControl w:val="0"/>
        <w:numPr>
          <w:ilvl w:val="0"/>
          <w:numId w:val="5"/>
        </w:numPr>
        <w:tabs>
          <w:tab w:val="left" w:pos="904"/>
        </w:tabs>
        <w:autoSpaceDE w:val="0"/>
        <w:autoSpaceDN w:val="0"/>
        <w:spacing w:after="0" w:line="278" w:lineRule="auto"/>
        <w:ind w:right="140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Türk Lirası cinsinden ve borsada işlem görmesi kaydıyla fon kullanıcısı bankalar olan veya kendisi veya fon kullanıcısı yatırım yapılabilir seviyede derecelendirme notuna sahip olan kira</w:t>
      </w:r>
      <w:r w:rsidRPr="00DE6BC4">
        <w:rPr>
          <w:rFonts w:ascii="Times New Roman" w:eastAsia="Arial" w:hAnsi="Times New Roman" w:cs="Times New Roman"/>
          <w:spacing w:val="-1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sertifikalarında,</w:t>
      </w:r>
    </w:p>
    <w:p w:rsidR="00EA4CCB" w:rsidRPr="00DE6BC4" w:rsidRDefault="00EA4CCB" w:rsidP="00EA4CCB">
      <w:pPr>
        <w:widowControl w:val="0"/>
        <w:numPr>
          <w:ilvl w:val="0"/>
          <w:numId w:val="5"/>
        </w:numPr>
        <w:tabs>
          <w:tab w:val="left" w:pos="898"/>
        </w:tabs>
        <w:autoSpaceDE w:val="0"/>
        <w:autoSpaceDN w:val="0"/>
        <w:spacing w:after="0" w:line="240" w:lineRule="auto"/>
        <w:ind w:left="897" w:hanging="219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BIST</w:t>
      </w:r>
      <w:r w:rsidRPr="00DE6BC4">
        <w:rPr>
          <w:rFonts w:ascii="Times New Roman" w:eastAsia="Arial" w:hAnsi="Times New Roman" w:cs="Times New Roman"/>
          <w:spacing w:val="-16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100,</w:t>
      </w:r>
      <w:r w:rsidRPr="00DE6BC4">
        <w:rPr>
          <w:rFonts w:ascii="Times New Roman" w:eastAsia="Arial" w:hAnsi="Times New Roman" w:cs="Times New Roman"/>
          <w:spacing w:val="-1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BIST</w:t>
      </w:r>
      <w:r w:rsidRPr="00DE6BC4">
        <w:rPr>
          <w:rFonts w:ascii="Times New Roman" w:eastAsia="Arial" w:hAnsi="Times New Roman" w:cs="Times New Roman"/>
          <w:spacing w:val="-1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Sürdürülebilirlik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Endeksi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Borsa</w:t>
      </w:r>
      <w:r w:rsidRPr="00DE6BC4">
        <w:rPr>
          <w:rFonts w:ascii="Times New Roman" w:eastAsia="Arial" w:hAnsi="Times New Roman" w:cs="Times New Roman"/>
          <w:spacing w:val="-1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İstanbul</w:t>
      </w:r>
      <w:r w:rsidRPr="00DE6BC4">
        <w:rPr>
          <w:rFonts w:ascii="Times New Roman" w:eastAsia="Arial" w:hAnsi="Times New Roman" w:cs="Times New Roman"/>
          <w:spacing w:val="-16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A.Ş.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tarafından</w:t>
      </w:r>
      <w:r w:rsidRPr="00DE6BC4">
        <w:rPr>
          <w:rFonts w:ascii="Times New Roman" w:eastAsia="Arial" w:hAnsi="Times New Roman" w:cs="Times New Roman"/>
          <w:spacing w:val="-16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hesaplanan</w:t>
      </w:r>
      <w:r w:rsidRPr="00DE6BC4">
        <w:rPr>
          <w:rFonts w:ascii="Times New Roman" w:eastAsia="Arial" w:hAnsi="Times New Roman" w:cs="Times New Roman"/>
          <w:spacing w:val="-1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katılım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endekslerindeki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paylarda,</w:t>
      </w:r>
    </w:p>
    <w:p w:rsidR="00EA4CCB" w:rsidRPr="00DE6BC4" w:rsidRDefault="00EA4CCB" w:rsidP="00EA4CCB">
      <w:pPr>
        <w:widowControl w:val="0"/>
        <w:numPr>
          <w:ilvl w:val="0"/>
          <w:numId w:val="5"/>
        </w:numPr>
        <w:tabs>
          <w:tab w:val="left" w:pos="869"/>
        </w:tabs>
        <w:autoSpaceDE w:val="0"/>
        <w:autoSpaceDN w:val="0"/>
        <w:spacing w:before="33" w:after="0" w:line="240" w:lineRule="auto"/>
        <w:ind w:left="868" w:hanging="190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Altın</w:t>
      </w:r>
      <w:r w:rsidRPr="00DE6BC4">
        <w:rPr>
          <w:rFonts w:ascii="Times New Roman" w:eastAsia="Arial" w:hAnsi="Times New Roman" w:cs="Times New Roman"/>
          <w:spacing w:val="-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</w:t>
      </w:r>
      <w:r w:rsidRPr="00DE6BC4">
        <w:rPr>
          <w:rFonts w:ascii="Times New Roman" w:eastAsia="Arial" w:hAnsi="Times New Roman" w:cs="Times New Roman"/>
          <w:spacing w:val="-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diğer</w:t>
      </w:r>
      <w:r w:rsidRPr="00DE6BC4">
        <w:rPr>
          <w:rFonts w:ascii="Times New Roman" w:eastAsia="Arial" w:hAnsi="Times New Roman" w:cs="Times New Roman"/>
          <w:spacing w:val="-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kıymetli</w:t>
      </w:r>
      <w:r w:rsidRPr="00DE6BC4">
        <w:rPr>
          <w:rFonts w:ascii="Times New Roman" w:eastAsia="Arial" w:hAnsi="Times New Roman" w:cs="Times New Roman"/>
          <w:spacing w:val="-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madenler</w:t>
      </w:r>
      <w:r w:rsidRPr="00DE6BC4">
        <w:rPr>
          <w:rFonts w:ascii="Times New Roman" w:eastAsia="Arial" w:hAnsi="Times New Roman" w:cs="Times New Roman"/>
          <w:spacing w:val="-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ile</w:t>
      </w:r>
      <w:r w:rsidRPr="00DE6BC4">
        <w:rPr>
          <w:rFonts w:ascii="Times New Roman" w:eastAsia="Arial" w:hAnsi="Times New Roman" w:cs="Times New Roman"/>
          <w:spacing w:val="-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bunlara</w:t>
      </w:r>
      <w:r w:rsidRPr="00DE6BC4">
        <w:rPr>
          <w:rFonts w:ascii="Times New Roman" w:eastAsia="Arial" w:hAnsi="Times New Roman" w:cs="Times New Roman"/>
          <w:spacing w:val="-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dayalı</w:t>
      </w:r>
      <w:r w:rsidRPr="00DE6BC4">
        <w:rPr>
          <w:rFonts w:ascii="Times New Roman" w:eastAsia="Arial" w:hAnsi="Times New Roman" w:cs="Times New Roman"/>
          <w:spacing w:val="-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sermaye</w:t>
      </w:r>
      <w:r w:rsidRPr="00DE6BC4">
        <w:rPr>
          <w:rFonts w:ascii="Times New Roman" w:eastAsia="Arial" w:hAnsi="Times New Roman" w:cs="Times New Roman"/>
          <w:spacing w:val="-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piyasası</w:t>
      </w:r>
      <w:r w:rsidRPr="00DE6BC4">
        <w:rPr>
          <w:rFonts w:ascii="Times New Roman" w:eastAsia="Arial" w:hAnsi="Times New Roman" w:cs="Times New Roman"/>
          <w:spacing w:val="-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araçlarında,</w:t>
      </w:r>
    </w:p>
    <w:p w:rsidR="00EA4CCB" w:rsidRPr="00DE6BC4" w:rsidRDefault="00EA4CCB" w:rsidP="00EA4CCB">
      <w:pPr>
        <w:widowControl w:val="0"/>
        <w:numPr>
          <w:ilvl w:val="0"/>
          <w:numId w:val="5"/>
        </w:numPr>
        <w:tabs>
          <w:tab w:val="left" w:pos="909"/>
        </w:tabs>
        <w:autoSpaceDE w:val="0"/>
        <w:autoSpaceDN w:val="0"/>
        <w:spacing w:before="33" w:after="0" w:line="240" w:lineRule="auto"/>
        <w:ind w:left="908" w:hanging="230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Yatırım fonu/borsa yatırım fonu katılma paylarında, yatırım ortaklığı</w:t>
      </w:r>
      <w:r w:rsidRPr="00DE6BC4">
        <w:rPr>
          <w:rFonts w:ascii="Times New Roman" w:eastAsia="Arial" w:hAnsi="Times New Roman" w:cs="Times New Roman"/>
          <w:spacing w:val="-26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paylarında,</w:t>
      </w:r>
    </w:p>
    <w:p w:rsidR="00EA4CCB" w:rsidRPr="00DE6BC4" w:rsidRDefault="00EA4CCB" w:rsidP="00EA4CCB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spacing w:before="33" w:after="0" w:line="278" w:lineRule="auto"/>
        <w:ind w:right="139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İpotek ve varlık teminatlı menkul kıymetlerde, ipoteğe ve varlığa dayalı menkul kıymetlerde, aracı kuruluş ve ortaklık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varantlarında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,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vaad</w:t>
      </w:r>
      <w:proofErr w:type="spellEnd"/>
      <w:r w:rsidRPr="00DE6BC4">
        <w:rPr>
          <w:rFonts w:ascii="Times New Roman" w:eastAsia="Arial" w:hAnsi="Times New Roman" w:cs="Times New Roman"/>
          <w:spacing w:val="-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sözleşmelerinde,</w:t>
      </w:r>
    </w:p>
    <w:p w:rsidR="00EA4CCB" w:rsidRPr="00DE6BC4" w:rsidRDefault="00EA4CCB" w:rsidP="00EA4CCB">
      <w:pPr>
        <w:widowControl w:val="0"/>
        <w:numPr>
          <w:ilvl w:val="0"/>
          <w:numId w:val="5"/>
        </w:numPr>
        <w:tabs>
          <w:tab w:val="left" w:pos="991"/>
        </w:tabs>
        <w:autoSpaceDE w:val="0"/>
        <w:autoSpaceDN w:val="0"/>
        <w:spacing w:after="0" w:line="278" w:lineRule="auto"/>
        <w:ind w:left="678" w:right="5616" w:firstLine="0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Kurulca uygun bulunan diğer yatırım</w:t>
      </w:r>
      <w:r w:rsidRPr="00DE6BC4">
        <w:rPr>
          <w:rFonts w:ascii="Times New Roman" w:eastAsia="Arial" w:hAnsi="Times New Roman" w:cs="Times New Roman"/>
          <w:spacing w:val="-20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araçlarında yatırıma</w:t>
      </w:r>
      <w:r w:rsidRPr="00DE6BC4">
        <w:rPr>
          <w:rFonts w:ascii="Times New Roman" w:eastAsia="Arial" w:hAnsi="Times New Roman" w:cs="Times New Roman"/>
          <w:spacing w:val="-1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yönlendirilir.</w:t>
      </w:r>
    </w:p>
    <w:p w:rsidR="00EA4CCB" w:rsidRPr="00DE6BC4" w:rsidRDefault="00EA4CCB" w:rsidP="00EA4CCB">
      <w:pPr>
        <w:widowControl w:val="0"/>
        <w:autoSpaceDE w:val="0"/>
        <w:autoSpaceDN w:val="0"/>
        <w:spacing w:after="0" w:line="278" w:lineRule="auto"/>
        <w:ind w:left="112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Ters repo ve </w:t>
      </w:r>
      <w:proofErr w:type="spell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Takasbank</w:t>
      </w:r>
      <w:proofErr w:type="spell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ve/veya yurtiçi organize para piyasası işlemlerinde değerlendirilecek tutar fon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portföyünün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yüzde ikisini aşamaz.</w:t>
      </w:r>
    </w:p>
    <w:p w:rsidR="00EA4CCB" w:rsidRPr="00DE6BC4" w:rsidRDefault="00EA4CCB" w:rsidP="00EA4CCB">
      <w:pPr>
        <w:widowControl w:val="0"/>
        <w:numPr>
          <w:ilvl w:val="0"/>
          <w:numId w:val="7"/>
        </w:numPr>
        <w:tabs>
          <w:tab w:val="left" w:pos="890"/>
        </w:tabs>
        <w:autoSpaceDE w:val="0"/>
        <w:autoSpaceDN w:val="0"/>
        <w:spacing w:before="60" w:after="0" w:line="278" w:lineRule="auto"/>
        <w:ind w:right="126" w:firstLine="566"/>
        <w:jc w:val="both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Azami</w:t>
      </w:r>
      <w:r w:rsidRPr="00DE6BC4">
        <w:rPr>
          <w:rFonts w:ascii="Times New Roman" w:eastAsia="Arial" w:hAnsi="Times New Roman" w:cs="Times New Roman"/>
          <w:spacing w:val="-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yüzde</w:t>
      </w:r>
      <w:r w:rsidRPr="00DE6BC4">
        <w:rPr>
          <w:rFonts w:ascii="Times New Roman" w:eastAsia="Arial" w:hAnsi="Times New Roman" w:cs="Times New Roman"/>
          <w:spacing w:val="-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kırkı;</w:t>
      </w:r>
      <w:r w:rsidRPr="00DE6BC4">
        <w:rPr>
          <w:rFonts w:ascii="Times New Roman" w:eastAsia="Arial" w:hAnsi="Times New Roman" w:cs="Times New Roman"/>
          <w:spacing w:val="-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Türk</w:t>
      </w:r>
      <w:r w:rsidRPr="00DE6BC4">
        <w:rPr>
          <w:rFonts w:ascii="Times New Roman" w:eastAsia="Arial" w:hAnsi="Times New Roman" w:cs="Times New Roman"/>
          <w:spacing w:val="-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Lirası</w:t>
      </w:r>
      <w:r w:rsidRPr="00DE6BC4">
        <w:rPr>
          <w:rFonts w:ascii="Times New Roman" w:eastAsia="Arial" w:hAnsi="Times New Roman" w:cs="Times New Roman"/>
          <w:spacing w:val="-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cinsinden</w:t>
      </w:r>
      <w:r w:rsidRPr="00DE6BC4">
        <w:rPr>
          <w:rFonts w:ascii="Times New Roman" w:eastAsia="Arial" w:hAnsi="Times New Roman" w:cs="Times New Roman"/>
          <w:spacing w:val="-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vadeli</w:t>
      </w:r>
      <w:r w:rsidRPr="00DE6BC4">
        <w:rPr>
          <w:rFonts w:ascii="Times New Roman" w:eastAsia="Arial" w:hAnsi="Times New Roman" w:cs="Times New Roman"/>
          <w:spacing w:val="-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mevduat</w:t>
      </w:r>
      <w:r w:rsidRPr="00DE6BC4">
        <w:rPr>
          <w:rFonts w:ascii="Times New Roman" w:eastAsia="Arial" w:hAnsi="Times New Roman" w:cs="Times New Roman"/>
          <w:spacing w:val="-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</w:t>
      </w:r>
      <w:r w:rsidRPr="00DE6BC4">
        <w:rPr>
          <w:rFonts w:ascii="Times New Roman" w:eastAsia="Arial" w:hAnsi="Times New Roman" w:cs="Times New Roman"/>
          <w:spacing w:val="-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katılma</w:t>
      </w:r>
      <w:r w:rsidRPr="00DE6BC4">
        <w:rPr>
          <w:rFonts w:ascii="Times New Roman" w:eastAsia="Arial" w:hAnsi="Times New Roman" w:cs="Times New Roman"/>
          <w:spacing w:val="-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hesabında</w:t>
      </w:r>
      <w:r w:rsidRPr="00DE6BC4">
        <w:rPr>
          <w:rFonts w:ascii="Times New Roman" w:eastAsia="Arial" w:hAnsi="Times New Roman" w:cs="Times New Roman"/>
          <w:spacing w:val="-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yatırıma</w:t>
      </w:r>
      <w:r w:rsidRPr="00DE6BC4">
        <w:rPr>
          <w:rFonts w:ascii="Times New Roman" w:eastAsia="Arial" w:hAnsi="Times New Roman" w:cs="Times New Roman"/>
          <w:spacing w:val="-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lastRenderedPageBreak/>
        <w:t>yönlendirilir.</w:t>
      </w:r>
      <w:r w:rsidRPr="00DE6BC4">
        <w:rPr>
          <w:rFonts w:ascii="Times New Roman" w:eastAsia="Arial" w:hAnsi="Times New Roman" w:cs="Times New Roman"/>
          <w:spacing w:val="-5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Vadeli</w:t>
      </w:r>
      <w:r w:rsidRPr="00DE6BC4">
        <w:rPr>
          <w:rFonts w:ascii="Times New Roman" w:eastAsia="Arial" w:hAnsi="Times New Roman" w:cs="Times New Roman"/>
          <w:spacing w:val="-6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mevduat</w:t>
      </w:r>
      <w:r w:rsidRPr="00DE6BC4">
        <w:rPr>
          <w:rFonts w:ascii="Times New Roman" w:eastAsia="Arial" w:hAnsi="Times New Roman" w:cs="Times New Roman"/>
          <w:spacing w:val="-4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ve katılma hesabında yatırıma yönlendirilen tutarın asgari yüzde onunun her hesap açılış tarihi itibariyle altı ay ve daha uzun vadeli olarak açılan hesaplarda değerlendirilmesi</w:t>
      </w:r>
      <w:r w:rsidRPr="00DE6BC4">
        <w:rPr>
          <w:rFonts w:ascii="Times New Roman" w:eastAsia="Arial" w:hAnsi="Times New Roman" w:cs="Times New Roman"/>
          <w:spacing w:val="2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gereklidir.</w:t>
      </w:r>
    </w:p>
    <w:p w:rsidR="00EA4CCB" w:rsidRPr="00DE6BC4" w:rsidRDefault="00EA4CCB" w:rsidP="00EA4CCB">
      <w:pPr>
        <w:widowControl w:val="0"/>
        <w:autoSpaceDE w:val="0"/>
        <w:autoSpaceDN w:val="0"/>
        <w:spacing w:after="0" w:line="278" w:lineRule="auto"/>
        <w:ind w:left="112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OKS standart fonların portföyüne sadece bu maddede belirtilen varlık ve işlemler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dahil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edilebilir. Yönetmelik’te ve Rehber’de yer alan ve bu maddede belirtilmeyen diğer </w:t>
      </w: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portföy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sınırlamalarına ilişkin hükümler saklıdır.</w:t>
      </w:r>
    </w:p>
    <w:p w:rsidR="00EA4CCB" w:rsidRPr="00DE6BC4" w:rsidRDefault="00EA4CCB" w:rsidP="00EA4CCB">
      <w:pPr>
        <w:widowControl w:val="0"/>
        <w:numPr>
          <w:ilvl w:val="0"/>
          <w:numId w:val="3"/>
        </w:numPr>
        <w:tabs>
          <w:tab w:val="left" w:pos="965"/>
        </w:tabs>
        <w:autoSpaceDE w:val="0"/>
        <w:autoSpaceDN w:val="0"/>
        <w:spacing w:before="76" w:after="0" w:line="240" w:lineRule="auto"/>
        <w:ind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5.2. Nemalandırma başlıklı maddesine (e) bendi olarak aşağıdaki hükmün</w:t>
      </w:r>
      <w:r w:rsidRPr="00DE6BC4">
        <w:rPr>
          <w:rFonts w:ascii="Times New Roman" w:eastAsia="Arial" w:hAnsi="Times New Roman" w:cs="Times New Roman"/>
          <w:spacing w:val="-13"/>
          <w:sz w:val="20"/>
          <w:szCs w:val="20"/>
          <w:lang w:eastAsia="tr-TR" w:bidi="tr-TR"/>
        </w:rPr>
        <w:t xml:space="preserve"> </w:t>
      </w: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eklenmesine</w:t>
      </w:r>
    </w:p>
    <w:p w:rsidR="00EA4CCB" w:rsidRPr="00DE6BC4" w:rsidRDefault="00EA4CCB" w:rsidP="00EA4CCB">
      <w:pPr>
        <w:widowControl w:val="0"/>
        <w:autoSpaceDE w:val="0"/>
        <w:autoSpaceDN w:val="0"/>
        <w:spacing w:before="93" w:after="0" w:line="278" w:lineRule="auto"/>
        <w:ind w:left="112" w:firstLine="566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“e) Otomatik katılım sisteminde sunulan faiz içeren değişken fonlar ile standart fonların pay alım talimatlarının gerçekleştirilmesi işlemleri sırasında tahsil edilen tutarların başlangıç fonlarında nemalandırılması esastır.”</w:t>
      </w:r>
    </w:p>
    <w:p w:rsidR="00EA4CCB" w:rsidRPr="00DE6BC4" w:rsidRDefault="00EA4CCB" w:rsidP="00EA4CCB">
      <w:pPr>
        <w:widowControl w:val="0"/>
        <w:autoSpaceDE w:val="0"/>
        <w:autoSpaceDN w:val="0"/>
        <w:spacing w:before="61" w:after="0" w:line="240" w:lineRule="auto"/>
        <w:ind w:left="678"/>
        <w:rPr>
          <w:rFonts w:ascii="Times New Roman" w:eastAsia="Arial" w:hAnsi="Times New Roman" w:cs="Times New Roman"/>
          <w:sz w:val="20"/>
          <w:szCs w:val="20"/>
          <w:lang w:eastAsia="tr-TR" w:bidi="tr-TR"/>
        </w:rPr>
      </w:pPr>
      <w:proofErr w:type="gramStart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>karar</w:t>
      </w:r>
      <w:proofErr w:type="gramEnd"/>
      <w:r w:rsidRPr="00DE6BC4">
        <w:rPr>
          <w:rFonts w:ascii="Times New Roman" w:eastAsia="Arial" w:hAnsi="Times New Roman" w:cs="Times New Roman"/>
          <w:sz w:val="20"/>
          <w:szCs w:val="20"/>
          <w:lang w:eastAsia="tr-TR" w:bidi="tr-TR"/>
        </w:rPr>
        <w:t xml:space="preserve"> verilmiştir.</w:t>
      </w:r>
    </w:p>
    <w:p w:rsidR="000B75CA" w:rsidRPr="00DE6BC4" w:rsidRDefault="000B75CA" w:rsidP="000B75C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B75CA" w:rsidRPr="00DE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3F" w:rsidRDefault="00C5473F">
      <w:pPr>
        <w:spacing w:after="0" w:line="240" w:lineRule="auto"/>
      </w:pPr>
      <w:r>
        <w:separator/>
      </w:r>
    </w:p>
  </w:endnote>
  <w:endnote w:type="continuationSeparator" w:id="0">
    <w:p w:rsidR="00C5473F" w:rsidRDefault="00C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3F" w:rsidRDefault="00C5473F">
      <w:pPr>
        <w:spacing w:after="0" w:line="240" w:lineRule="auto"/>
      </w:pPr>
      <w:r>
        <w:separator/>
      </w:r>
    </w:p>
  </w:footnote>
  <w:footnote w:type="continuationSeparator" w:id="0">
    <w:p w:rsidR="00C5473F" w:rsidRDefault="00C54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392"/>
    <w:multiLevelType w:val="multilevel"/>
    <w:tmpl w:val="7DFE0AA2"/>
    <w:lvl w:ilvl="0">
      <w:start w:val="3"/>
      <w:numFmt w:val="decimal"/>
      <w:lvlText w:val="%1"/>
      <w:lvlJc w:val="left"/>
      <w:pPr>
        <w:ind w:left="1182" w:hanging="504"/>
      </w:pPr>
      <w:rPr>
        <w:rFonts w:hint="default"/>
        <w:lang w:val="tr-TR" w:eastAsia="tr-TR" w:bidi="tr-TR"/>
      </w:rPr>
    </w:lvl>
    <w:lvl w:ilvl="1">
      <w:start w:val="7"/>
      <w:numFmt w:val="decimal"/>
      <w:lvlText w:val="%1.%2"/>
      <w:lvlJc w:val="left"/>
      <w:pPr>
        <w:ind w:left="1182" w:hanging="504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182" w:hanging="504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tr-TR" w:eastAsia="tr-TR" w:bidi="tr-TR"/>
      </w:rPr>
    </w:lvl>
    <w:lvl w:ilvl="3">
      <w:numFmt w:val="bullet"/>
      <w:lvlText w:val="•"/>
      <w:lvlJc w:val="left"/>
      <w:pPr>
        <w:ind w:left="3959" w:hanging="50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886" w:hanging="50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813" w:hanging="50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739" w:hanging="50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666" w:hanging="50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593" w:hanging="504"/>
      </w:pPr>
      <w:rPr>
        <w:rFonts w:hint="default"/>
        <w:lang w:val="tr-TR" w:eastAsia="tr-TR" w:bidi="tr-TR"/>
      </w:rPr>
    </w:lvl>
  </w:abstractNum>
  <w:abstractNum w:abstractNumId="1">
    <w:nsid w:val="36B15AB3"/>
    <w:multiLevelType w:val="hybridMultilevel"/>
    <w:tmpl w:val="2E525EC0"/>
    <w:lvl w:ilvl="0" w:tplc="53DA5782">
      <w:start w:val="12"/>
      <w:numFmt w:val="upperLetter"/>
      <w:lvlText w:val="%1."/>
      <w:lvlJc w:val="left"/>
      <w:pPr>
        <w:ind w:left="112" w:hanging="233"/>
      </w:pPr>
      <w:rPr>
        <w:rFonts w:ascii="Arial" w:eastAsia="Arial" w:hAnsi="Arial" w:cs="Arial" w:hint="default"/>
        <w:b w:val="0"/>
        <w:bCs/>
        <w:w w:val="100"/>
        <w:sz w:val="18"/>
        <w:szCs w:val="18"/>
        <w:lang w:val="tr-TR" w:eastAsia="tr-TR" w:bidi="tr-TR"/>
      </w:rPr>
    </w:lvl>
    <w:lvl w:ilvl="1" w:tplc="DF7C59D2">
      <w:numFmt w:val="bullet"/>
      <w:lvlText w:val="•"/>
      <w:lvlJc w:val="left"/>
      <w:pPr>
        <w:ind w:left="1152" w:hanging="233"/>
      </w:pPr>
      <w:rPr>
        <w:rFonts w:hint="default"/>
        <w:lang w:val="tr-TR" w:eastAsia="tr-TR" w:bidi="tr-TR"/>
      </w:rPr>
    </w:lvl>
    <w:lvl w:ilvl="2" w:tplc="2334C5AE">
      <w:numFmt w:val="bullet"/>
      <w:lvlText w:val="•"/>
      <w:lvlJc w:val="left"/>
      <w:pPr>
        <w:ind w:left="2185" w:hanging="233"/>
      </w:pPr>
      <w:rPr>
        <w:rFonts w:hint="default"/>
        <w:lang w:val="tr-TR" w:eastAsia="tr-TR" w:bidi="tr-TR"/>
      </w:rPr>
    </w:lvl>
    <w:lvl w:ilvl="3" w:tplc="515E0EDA">
      <w:numFmt w:val="bullet"/>
      <w:lvlText w:val="•"/>
      <w:lvlJc w:val="left"/>
      <w:pPr>
        <w:ind w:left="3217" w:hanging="233"/>
      </w:pPr>
      <w:rPr>
        <w:rFonts w:hint="default"/>
        <w:lang w:val="tr-TR" w:eastAsia="tr-TR" w:bidi="tr-TR"/>
      </w:rPr>
    </w:lvl>
    <w:lvl w:ilvl="4" w:tplc="1D3C023A">
      <w:numFmt w:val="bullet"/>
      <w:lvlText w:val="•"/>
      <w:lvlJc w:val="left"/>
      <w:pPr>
        <w:ind w:left="4250" w:hanging="233"/>
      </w:pPr>
      <w:rPr>
        <w:rFonts w:hint="default"/>
        <w:lang w:val="tr-TR" w:eastAsia="tr-TR" w:bidi="tr-TR"/>
      </w:rPr>
    </w:lvl>
    <w:lvl w:ilvl="5" w:tplc="D0BA26FC">
      <w:numFmt w:val="bullet"/>
      <w:lvlText w:val="•"/>
      <w:lvlJc w:val="left"/>
      <w:pPr>
        <w:ind w:left="5283" w:hanging="233"/>
      </w:pPr>
      <w:rPr>
        <w:rFonts w:hint="default"/>
        <w:lang w:val="tr-TR" w:eastAsia="tr-TR" w:bidi="tr-TR"/>
      </w:rPr>
    </w:lvl>
    <w:lvl w:ilvl="6" w:tplc="E03884F2">
      <w:numFmt w:val="bullet"/>
      <w:lvlText w:val="•"/>
      <w:lvlJc w:val="left"/>
      <w:pPr>
        <w:ind w:left="6315" w:hanging="233"/>
      </w:pPr>
      <w:rPr>
        <w:rFonts w:hint="default"/>
        <w:lang w:val="tr-TR" w:eastAsia="tr-TR" w:bidi="tr-TR"/>
      </w:rPr>
    </w:lvl>
    <w:lvl w:ilvl="7" w:tplc="9D569D5C">
      <w:numFmt w:val="bullet"/>
      <w:lvlText w:val="•"/>
      <w:lvlJc w:val="left"/>
      <w:pPr>
        <w:ind w:left="7348" w:hanging="233"/>
      </w:pPr>
      <w:rPr>
        <w:rFonts w:hint="default"/>
        <w:lang w:val="tr-TR" w:eastAsia="tr-TR" w:bidi="tr-TR"/>
      </w:rPr>
    </w:lvl>
    <w:lvl w:ilvl="8" w:tplc="7AF809BC">
      <w:numFmt w:val="bullet"/>
      <w:lvlText w:val="•"/>
      <w:lvlJc w:val="left"/>
      <w:pPr>
        <w:ind w:left="8381" w:hanging="233"/>
      </w:pPr>
      <w:rPr>
        <w:rFonts w:hint="default"/>
        <w:lang w:val="tr-TR" w:eastAsia="tr-TR" w:bidi="tr-TR"/>
      </w:rPr>
    </w:lvl>
  </w:abstractNum>
  <w:abstractNum w:abstractNumId="2">
    <w:nsid w:val="37156C8E"/>
    <w:multiLevelType w:val="hybridMultilevel"/>
    <w:tmpl w:val="BF222774"/>
    <w:lvl w:ilvl="0" w:tplc="F07C5446">
      <w:start w:val="1"/>
      <w:numFmt w:val="lowerRoman"/>
      <w:lvlText w:val="%1."/>
      <w:lvlJc w:val="left"/>
      <w:pPr>
        <w:ind w:left="112" w:hanging="142"/>
      </w:pPr>
      <w:rPr>
        <w:rFonts w:ascii="Arial" w:eastAsia="Arial" w:hAnsi="Arial" w:cs="Arial" w:hint="default"/>
        <w:spacing w:val="-3"/>
        <w:w w:val="100"/>
        <w:sz w:val="18"/>
        <w:szCs w:val="18"/>
        <w:lang w:val="tr-TR" w:eastAsia="tr-TR" w:bidi="tr-TR"/>
      </w:rPr>
    </w:lvl>
    <w:lvl w:ilvl="1" w:tplc="83C83850">
      <w:numFmt w:val="bullet"/>
      <w:lvlText w:val="•"/>
      <w:lvlJc w:val="left"/>
      <w:pPr>
        <w:ind w:left="1152" w:hanging="142"/>
      </w:pPr>
      <w:rPr>
        <w:rFonts w:hint="default"/>
        <w:lang w:val="tr-TR" w:eastAsia="tr-TR" w:bidi="tr-TR"/>
      </w:rPr>
    </w:lvl>
    <w:lvl w:ilvl="2" w:tplc="B7025C5A">
      <w:numFmt w:val="bullet"/>
      <w:lvlText w:val="•"/>
      <w:lvlJc w:val="left"/>
      <w:pPr>
        <w:ind w:left="2185" w:hanging="142"/>
      </w:pPr>
      <w:rPr>
        <w:rFonts w:hint="default"/>
        <w:lang w:val="tr-TR" w:eastAsia="tr-TR" w:bidi="tr-TR"/>
      </w:rPr>
    </w:lvl>
    <w:lvl w:ilvl="3" w:tplc="7AE8B3D2">
      <w:numFmt w:val="bullet"/>
      <w:lvlText w:val="•"/>
      <w:lvlJc w:val="left"/>
      <w:pPr>
        <w:ind w:left="3217" w:hanging="142"/>
      </w:pPr>
      <w:rPr>
        <w:rFonts w:hint="default"/>
        <w:lang w:val="tr-TR" w:eastAsia="tr-TR" w:bidi="tr-TR"/>
      </w:rPr>
    </w:lvl>
    <w:lvl w:ilvl="4" w:tplc="2C6238A0">
      <w:numFmt w:val="bullet"/>
      <w:lvlText w:val="•"/>
      <w:lvlJc w:val="left"/>
      <w:pPr>
        <w:ind w:left="4250" w:hanging="142"/>
      </w:pPr>
      <w:rPr>
        <w:rFonts w:hint="default"/>
        <w:lang w:val="tr-TR" w:eastAsia="tr-TR" w:bidi="tr-TR"/>
      </w:rPr>
    </w:lvl>
    <w:lvl w:ilvl="5" w:tplc="B05428EC">
      <w:numFmt w:val="bullet"/>
      <w:lvlText w:val="•"/>
      <w:lvlJc w:val="left"/>
      <w:pPr>
        <w:ind w:left="5283" w:hanging="142"/>
      </w:pPr>
      <w:rPr>
        <w:rFonts w:hint="default"/>
        <w:lang w:val="tr-TR" w:eastAsia="tr-TR" w:bidi="tr-TR"/>
      </w:rPr>
    </w:lvl>
    <w:lvl w:ilvl="6" w:tplc="604EEAD6">
      <w:numFmt w:val="bullet"/>
      <w:lvlText w:val="•"/>
      <w:lvlJc w:val="left"/>
      <w:pPr>
        <w:ind w:left="6315" w:hanging="142"/>
      </w:pPr>
      <w:rPr>
        <w:rFonts w:hint="default"/>
        <w:lang w:val="tr-TR" w:eastAsia="tr-TR" w:bidi="tr-TR"/>
      </w:rPr>
    </w:lvl>
    <w:lvl w:ilvl="7" w:tplc="A3AEBE0C">
      <w:numFmt w:val="bullet"/>
      <w:lvlText w:val="•"/>
      <w:lvlJc w:val="left"/>
      <w:pPr>
        <w:ind w:left="7348" w:hanging="142"/>
      </w:pPr>
      <w:rPr>
        <w:rFonts w:hint="default"/>
        <w:lang w:val="tr-TR" w:eastAsia="tr-TR" w:bidi="tr-TR"/>
      </w:rPr>
    </w:lvl>
    <w:lvl w:ilvl="8" w:tplc="4252B322">
      <w:numFmt w:val="bullet"/>
      <w:lvlText w:val="•"/>
      <w:lvlJc w:val="left"/>
      <w:pPr>
        <w:ind w:left="8381" w:hanging="142"/>
      </w:pPr>
      <w:rPr>
        <w:rFonts w:hint="default"/>
        <w:lang w:val="tr-TR" w:eastAsia="tr-TR" w:bidi="tr-TR"/>
      </w:rPr>
    </w:lvl>
  </w:abstractNum>
  <w:abstractNum w:abstractNumId="3">
    <w:nsid w:val="39692984"/>
    <w:multiLevelType w:val="hybridMultilevel"/>
    <w:tmpl w:val="2B9E9A46"/>
    <w:lvl w:ilvl="0" w:tplc="04489D34">
      <w:start w:val="1"/>
      <w:numFmt w:val="upperLetter"/>
      <w:lvlText w:val="%1."/>
      <w:lvlJc w:val="left"/>
      <w:pPr>
        <w:ind w:left="964" w:hanging="286"/>
      </w:pPr>
      <w:rPr>
        <w:rFonts w:ascii="Arial" w:eastAsia="Arial" w:hAnsi="Arial" w:cs="Arial" w:hint="default"/>
        <w:b/>
        <w:bCs/>
        <w:color w:val="FF0000"/>
        <w:spacing w:val="-45"/>
        <w:w w:val="100"/>
        <w:sz w:val="18"/>
        <w:szCs w:val="18"/>
        <w:lang w:val="tr-TR" w:eastAsia="tr-TR" w:bidi="tr-TR"/>
      </w:rPr>
    </w:lvl>
    <w:lvl w:ilvl="1" w:tplc="D4E62BE6">
      <w:start w:val="1"/>
      <w:numFmt w:val="decimal"/>
      <w:lvlText w:val="%2."/>
      <w:lvlJc w:val="left"/>
      <w:pPr>
        <w:ind w:left="964" w:hanging="286"/>
      </w:pPr>
      <w:rPr>
        <w:rFonts w:ascii="Arial" w:eastAsia="Arial" w:hAnsi="Arial" w:cs="Arial" w:hint="default"/>
        <w:b/>
        <w:bCs/>
        <w:color w:val="auto"/>
        <w:spacing w:val="-16"/>
        <w:w w:val="100"/>
        <w:sz w:val="18"/>
        <w:szCs w:val="18"/>
        <w:lang w:val="tr-TR" w:eastAsia="tr-TR" w:bidi="tr-TR"/>
      </w:rPr>
    </w:lvl>
    <w:lvl w:ilvl="2" w:tplc="3B604634">
      <w:numFmt w:val="bullet"/>
      <w:lvlText w:val="•"/>
      <w:lvlJc w:val="left"/>
      <w:pPr>
        <w:ind w:left="2014" w:hanging="286"/>
      </w:pPr>
      <w:rPr>
        <w:rFonts w:hint="default"/>
        <w:lang w:val="tr-TR" w:eastAsia="tr-TR" w:bidi="tr-TR"/>
      </w:rPr>
    </w:lvl>
    <w:lvl w:ilvl="3" w:tplc="8C2842CE">
      <w:numFmt w:val="bullet"/>
      <w:lvlText w:val="•"/>
      <w:lvlJc w:val="left"/>
      <w:pPr>
        <w:ind w:left="3068" w:hanging="286"/>
      </w:pPr>
      <w:rPr>
        <w:rFonts w:hint="default"/>
        <w:lang w:val="tr-TR" w:eastAsia="tr-TR" w:bidi="tr-TR"/>
      </w:rPr>
    </w:lvl>
    <w:lvl w:ilvl="4" w:tplc="6C6CFAEC">
      <w:numFmt w:val="bullet"/>
      <w:lvlText w:val="•"/>
      <w:lvlJc w:val="left"/>
      <w:pPr>
        <w:ind w:left="4122" w:hanging="286"/>
      </w:pPr>
      <w:rPr>
        <w:rFonts w:hint="default"/>
        <w:lang w:val="tr-TR" w:eastAsia="tr-TR" w:bidi="tr-TR"/>
      </w:rPr>
    </w:lvl>
    <w:lvl w:ilvl="5" w:tplc="FC640A34">
      <w:numFmt w:val="bullet"/>
      <w:lvlText w:val="•"/>
      <w:lvlJc w:val="left"/>
      <w:pPr>
        <w:ind w:left="5176" w:hanging="286"/>
      </w:pPr>
      <w:rPr>
        <w:rFonts w:hint="default"/>
        <w:lang w:val="tr-TR" w:eastAsia="tr-TR" w:bidi="tr-TR"/>
      </w:rPr>
    </w:lvl>
    <w:lvl w:ilvl="6" w:tplc="D320239A">
      <w:numFmt w:val="bullet"/>
      <w:lvlText w:val="•"/>
      <w:lvlJc w:val="left"/>
      <w:pPr>
        <w:ind w:left="6230" w:hanging="286"/>
      </w:pPr>
      <w:rPr>
        <w:rFonts w:hint="default"/>
        <w:lang w:val="tr-TR" w:eastAsia="tr-TR" w:bidi="tr-TR"/>
      </w:rPr>
    </w:lvl>
    <w:lvl w:ilvl="7" w:tplc="4D1CB38A">
      <w:numFmt w:val="bullet"/>
      <w:lvlText w:val="•"/>
      <w:lvlJc w:val="left"/>
      <w:pPr>
        <w:ind w:left="7284" w:hanging="286"/>
      </w:pPr>
      <w:rPr>
        <w:rFonts w:hint="default"/>
        <w:lang w:val="tr-TR" w:eastAsia="tr-TR" w:bidi="tr-TR"/>
      </w:rPr>
    </w:lvl>
    <w:lvl w:ilvl="8" w:tplc="48F69396">
      <w:numFmt w:val="bullet"/>
      <w:lvlText w:val="•"/>
      <w:lvlJc w:val="left"/>
      <w:pPr>
        <w:ind w:left="8338" w:hanging="286"/>
      </w:pPr>
      <w:rPr>
        <w:rFonts w:hint="default"/>
        <w:lang w:val="tr-TR" w:eastAsia="tr-TR" w:bidi="tr-TR"/>
      </w:rPr>
    </w:lvl>
  </w:abstractNum>
  <w:abstractNum w:abstractNumId="4">
    <w:nsid w:val="48633818"/>
    <w:multiLevelType w:val="hybridMultilevel"/>
    <w:tmpl w:val="69041BC6"/>
    <w:lvl w:ilvl="0" w:tplc="E6C24292">
      <w:start w:val="1"/>
      <w:numFmt w:val="lowerRoman"/>
      <w:lvlText w:val="%1."/>
      <w:lvlJc w:val="left"/>
      <w:pPr>
        <w:ind w:left="112" w:hanging="168"/>
      </w:pPr>
      <w:rPr>
        <w:rFonts w:ascii="Arial" w:eastAsia="Arial" w:hAnsi="Arial" w:cs="Arial" w:hint="default"/>
        <w:spacing w:val="-25"/>
        <w:w w:val="100"/>
        <w:sz w:val="18"/>
        <w:szCs w:val="18"/>
        <w:lang w:val="tr-TR" w:eastAsia="tr-TR" w:bidi="tr-TR"/>
      </w:rPr>
    </w:lvl>
    <w:lvl w:ilvl="1" w:tplc="4224AE4E">
      <w:numFmt w:val="bullet"/>
      <w:lvlText w:val="•"/>
      <w:lvlJc w:val="left"/>
      <w:pPr>
        <w:ind w:left="1152" w:hanging="168"/>
      </w:pPr>
      <w:rPr>
        <w:rFonts w:hint="default"/>
        <w:lang w:val="tr-TR" w:eastAsia="tr-TR" w:bidi="tr-TR"/>
      </w:rPr>
    </w:lvl>
    <w:lvl w:ilvl="2" w:tplc="84621ACE">
      <w:numFmt w:val="bullet"/>
      <w:lvlText w:val="•"/>
      <w:lvlJc w:val="left"/>
      <w:pPr>
        <w:ind w:left="2185" w:hanging="168"/>
      </w:pPr>
      <w:rPr>
        <w:rFonts w:hint="default"/>
        <w:lang w:val="tr-TR" w:eastAsia="tr-TR" w:bidi="tr-TR"/>
      </w:rPr>
    </w:lvl>
    <w:lvl w:ilvl="3" w:tplc="9C7606B4">
      <w:numFmt w:val="bullet"/>
      <w:lvlText w:val="•"/>
      <w:lvlJc w:val="left"/>
      <w:pPr>
        <w:ind w:left="3217" w:hanging="168"/>
      </w:pPr>
      <w:rPr>
        <w:rFonts w:hint="default"/>
        <w:lang w:val="tr-TR" w:eastAsia="tr-TR" w:bidi="tr-TR"/>
      </w:rPr>
    </w:lvl>
    <w:lvl w:ilvl="4" w:tplc="64F44684">
      <w:numFmt w:val="bullet"/>
      <w:lvlText w:val="•"/>
      <w:lvlJc w:val="left"/>
      <w:pPr>
        <w:ind w:left="4250" w:hanging="168"/>
      </w:pPr>
      <w:rPr>
        <w:rFonts w:hint="default"/>
        <w:lang w:val="tr-TR" w:eastAsia="tr-TR" w:bidi="tr-TR"/>
      </w:rPr>
    </w:lvl>
    <w:lvl w:ilvl="5" w:tplc="834447C0">
      <w:numFmt w:val="bullet"/>
      <w:lvlText w:val="•"/>
      <w:lvlJc w:val="left"/>
      <w:pPr>
        <w:ind w:left="5283" w:hanging="168"/>
      </w:pPr>
      <w:rPr>
        <w:rFonts w:hint="default"/>
        <w:lang w:val="tr-TR" w:eastAsia="tr-TR" w:bidi="tr-TR"/>
      </w:rPr>
    </w:lvl>
    <w:lvl w:ilvl="6" w:tplc="01B82EFE">
      <w:numFmt w:val="bullet"/>
      <w:lvlText w:val="•"/>
      <w:lvlJc w:val="left"/>
      <w:pPr>
        <w:ind w:left="6315" w:hanging="168"/>
      </w:pPr>
      <w:rPr>
        <w:rFonts w:hint="default"/>
        <w:lang w:val="tr-TR" w:eastAsia="tr-TR" w:bidi="tr-TR"/>
      </w:rPr>
    </w:lvl>
    <w:lvl w:ilvl="7" w:tplc="2562AC10">
      <w:numFmt w:val="bullet"/>
      <w:lvlText w:val="•"/>
      <w:lvlJc w:val="left"/>
      <w:pPr>
        <w:ind w:left="7348" w:hanging="168"/>
      </w:pPr>
      <w:rPr>
        <w:rFonts w:hint="default"/>
        <w:lang w:val="tr-TR" w:eastAsia="tr-TR" w:bidi="tr-TR"/>
      </w:rPr>
    </w:lvl>
    <w:lvl w:ilvl="8" w:tplc="76E4AD50">
      <w:numFmt w:val="bullet"/>
      <w:lvlText w:val="•"/>
      <w:lvlJc w:val="left"/>
      <w:pPr>
        <w:ind w:left="8381" w:hanging="168"/>
      </w:pPr>
      <w:rPr>
        <w:rFonts w:hint="default"/>
        <w:lang w:val="tr-TR" w:eastAsia="tr-TR" w:bidi="tr-TR"/>
      </w:rPr>
    </w:lvl>
  </w:abstractNum>
  <w:abstractNum w:abstractNumId="5">
    <w:nsid w:val="5EC04882"/>
    <w:multiLevelType w:val="hybridMultilevel"/>
    <w:tmpl w:val="E17E47F2"/>
    <w:lvl w:ilvl="0" w:tplc="64D6C8DE">
      <w:start w:val="1"/>
      <w:numFmt w:val="decimal"/>
      <w:lvlText w:val="%1)"/>
      <w:lvlJc w:val="left"/>
      <w:pPr>
        <w:ind w:left="112" w:hanging="286"/>
      </w:pPr>
      <w:rPr>
        <w:rFonts w:ascii="Arial" w:eastAsia="Arial" w:hAnsi="Arial" w:cs="Arial" w:hint="default"/>
        <w:b/>
        <w:bCs/>
        <w:w w:val="99"/>
        <w:sz w:val="18"/>
        <w:szCs w:val="18"/>
        <w:lang w:val="tr-TR" w:eastAsia="tr-TR" w:bidi="tr-TR"/>
      </w:rPr>
    </w:lvl>
    <w:lvl w:ilvl="1" w:tplc="9F1A53E0">
      <w:start w:val="1"/>
      <w:numFmt w:val="lowerLetter"/>
      <w:lvlText w:val="%2)"/>
      <w:lvlJc w:val="left"/>
      <w:pPr>
        <w:ind w:left="112" w:hanging="221"/>
      </w:pPr>
      <w:rPr>
        <w:rFonts w:ascii="Arial" w:eastAsia="Arial" w:hAnsi="Arial" w:cs="Arial" w:hint="default"/>
        <w:w w:val="100"/>
        <w:sz w:val="18"/>
        <w:szCs w:val="18"/>
        <w:lang w:val="tr-TR" w:eastAsia="tr-TR" w:bidi="tr-TR"/>
      </w:rPr>
    </w:lvl>
    <w:lvl w:ilvl="2" w:tplc="3F7C07BE">
      <w:numFmt w:val="bullet"/>
      <w:lvlText w:val="•"/>
      <w:lvlJc w:val="left"/>
      <w:pPr>
        <w:ind w:left="2185" w:hanging="221"/>
      </w:pPr>
      <w:rPr>
        <w:rFonts w:hint="default"/>
        <w:lang w:val="tr-TR" w:eastAsia="tr-TR" w:bidi="tr-TR"/>
      </w:rPr>
    </w:lvl>
    <w:lvl w:ilvl="3" w:tplc="4D74BE66">
      <w:numFmt w:val="bullet"/>
      <w:lvlText w:val="•"/>
      <w:lvlJc w:val="left"/>
      <w:pPr>
        <w:ind w:left="3217" w:hanging="221"/>
      </w:pPr>
      <w:rPr>
        <w:rFonts w:hint="default"/>
        <w:lang w:val="tr-TR" w:eastAsia="tr-TR" w:bidi="tr-TR"/>
      </w:rPr>
    </w:lvl>
    <w:lvl w:ilvl="4" w:tplc="0A3A9BB0">
      <w:numFmt w:val="bullet"/>
      <w:lvlText w:val="•"/>
      <w:lvlJc w:val="left"/>
      <w:pPr>
        <w:ind w:left="4250" w:hanging="221"/>
      </w:pPr>
      <w:rPr>
        <w:rFonts w:hint="default"/>
        <w:lang w:val="tr-TR" w:eastAsia="tr-TR" w:bidi="tr-TR"/>
      </w:rPr>
    </w:lvl>
    <w:lvl w:ilvl="5" w:tplc="4A2831CE">
      <w:numFmt w:val="bullet"/>
      <w:lvlText w:val="•"/>
      <w:lvlJc w:val="left"/>
      <w:pPr>
        <w:ind w:left="5283" w:hanging="221"/>
      </w:pPr>
      <w:rPr>
        <w:rFonts w:hint="default"/>
        <w:lang w:val="tr-TR" w:eastAsia="tr-TR" w:bidi="tr-TR"/>
      </w:rPr>
    </w:lvl>
    <w:lvl w:ilvl="6" w:tplc="3D8CA02C">
      <w:numFmt w:val="bullet"/>
      <w:lvlText w:val="•"/>
      <w:lvlJc w:val="left"/>
      <w:pPr>
        <w:ind w:left="6315" w:hanging="221"/>
      </w:pPr>
      <w:rPr>
        <w:rFonts w:hint="default"/>
        <w:lang w:val="tr-TR" w:eastAsia="tr-TR" w:bidi="tr-TR"/>
      </w:rPr>
    </w:lvl>
    <w:lvl w:ilvl="7" w:tplc="621AE430">
      <w:numFmt w:val="bullet"/>
      <w:lvlText w:val="•"/>
      <w:lvlJc w:val="left"/>
      <w:pPr>
        <w:ind w:left="7348" w:hanging="221"/>
      </w:pPr>
      <w:rPr>
        <w:rFonts w:hint="default"/>
        <w:lang w:val="tr-TR" w:eastAsia="tr-TR" w:bidi="tr-TR"/>
      </w:rPr>
    </w:lvl>
    <w:lvl w:ilvl="8" w:tplc="C4545E1A">
      <w:numFmt w:val="bullet"/>
      <w:lvlText w:val="•"/>
      <w:lvlJc w:val="left"/>
      <w:pPr>
        <w:ind w:left="8381" w:hanging="221"/>
      </w:pPr>
      <w:rPr>
        <w:rFonts w:hint="default"/>
        <w:lang w:val="tr-TR" w:eastAsia="tr-TR" w:bidi="tr-TR"/>
      </w:rPr>
    </w:lvl>
  </w:abstractNum>
  <w:abstractNum w:abstractNumId="6">
    <w:nsid w:val="611F2088"/>
    <w:multiLevelType w:val="hybridMultilevel"/>
    <w:tmpl w:val="724E9CFE"/>
    <w:lvl w:ilvl="0" w:tplc="6D6E89B4">
      <w:start w:val="1"/>
      <w:numFmt w:val="lowerRoman"/>
      <w:lvlText w:val="%1."/>
      <w:lvlJc w:val="left"/>
      <w:pPr>
        <w:ind w:left="112" w:hanging="142"/>
      </w:pPr>
      <w:rPr>
        <w:rFonts w:ascii="Arial" w:eastAsia="Arial" w:hAnsi="Arial" w:cs="Arial" w:hint="default"/>
        <w:spacing w:val="-4"/>
        <w:w w:val="100"/>
        <w:sz w:val="18"/>
        <w:szCs w:val="18"/>
        <w:lang w:val="tr-TR" w:eastAsia="tr-TR" w:bidi="tr-TR"/>
      </w:rPr>
    </w:lvl>
    <w:lvl w:ilvl="1" w:tplc="2864C714">
      <w:numFmt w:val="bullet"/>
      <w:lvlText w:val="•"/>
      <w:lvlJc w:val="left"/>
      <w:pPr>
        <w:ind w:left="1152" w:hanging="142"/>
      </w:pPr>
      <w:rPr>
        <w:rFonts w:hint="default"/>
        <w:lang w:val="tr-TR" w:eastAsia="tr-TR" w:bidi="tr-TR"/>
      </w:rPr>
    </w:lvl>
    <w:lvl w:ilvl="2" w:tplc="C6AAF5B2">
      <w:numFmt w:val="bullet"/>
      <w:lvlText w:val="•"/>
      <w:lvlJc w:val="left"/>
      <w:pPr>
        <w:ind w:left="2185" w:hanging="142"/>
      </w:pPr>
      <w:rPr>
        <w:rFonts w:hint="default"/>
        <w:lang w:val="tr-TR" w:eastAsia="tr-TR" w:bidi="tr-TR"/>
      </w:rPr>
    </w:lvl>
    <w:lvl w:ilvl="3" w:tplc="4420CF06">
      <w:numFmt w:val="bullet"/>
      <w:lvlText w:val="•"/>
      <w:lvlJc w:val="left"/>
      <w:pPr>
        <w:ind w:left="3217" w:hanging="142"/>
      </w:pPr>
      <w:rPr>
        <w:rFonts w:hint="default"/>
        <w:lang w:val="tr-TR" w:eastAsia="tr-TR" w:bidi="tr-TR"/>
      </w:rPr>
    </w:lvl>
    <w:lvl w:ilvl="4" w:tplc="C1C66008">
      <w:numFmt w:val="bullet"/>
      <w:lvlText w:val="•"/>
      <w:lvlJc w:val="left"/>
      <w:pPr>
        <w:ind w:left="4250" w:hanging="142"/>
      </w:pPr>
      <w:rPr>
        <w:rFonts w:hint="default"/>
        <w:lang w:val="tr-TR" w:eastAsia="tr-TR" w:bidi="tr-TR"/>
      </w:rPr>
    </w:lvl>
    <w:lvl w:ilvl="5" w:tplc="769A91DC">
      <w:numFmt w:val="bullet"/>
      <w:lvlText w:val="•"/>
      <w:lvlJc w:val="left"/>
      <w:pPr>
        <w:ind w:left="5283" w:hanging="142"/>
      </w:pPr>
      <w:rPr>
        <w:rFonts w:hint="default"/>
        <w:lang w:val="tr-TR" w:eastAsia="tr-TR" w:bidi="tr-TR"/>
      </w:rPr>
    </w:lvl>
    <w:lvl w:ilvl="6" w:tplc="10A29BAE">
      <w:numFmt w:val="bullet"/>
      <w:lvlText w:val="•"/>
      <w:lvlJc w:val="left"/>
      <w:pPr>
        <w:ind w:left="6315" w:hanging="142"/>
      </w:pPr>
      <w:rPr>
        <w:rFonts w:hint="default"/>
        <w:lang w:val="tr-TR" w:eastAsia="tr-TR" w:bidi="tr-TR"/>
      </w:rPr>
    </w:lvl>
    <w:lvl w:ilvl="7" w:tplc="F35EDCDE">
      <w:numFmt w:val="bullet"/>
      <w:lvlText w:val="•"/>
      <w:lvlJc w:val="left"/>
      <w:pPr>
        <w:ind w:left="7348" w:hanging="142"/>
      </w:pPr>
      <w:rPr>
        <w:rFonts w:hint="default"/>
        <w:lang w:val="tr-TR" w:eastAsia="tr-TR" w:bidi="tr-TR"/>
      </w:rPr>
    </w:lvl>
    <w:lvl w:ilvl="8" w:tplc="CECCFBB2">
      <w:numFmt w:val="bullet"/>
      <w:lvlText w:val="•"/>
      <w:lvlJc w:val="left"/>
      <w:pPr>
        <w:ind w:left="8381" w:hanging="142"/>
      </w:pPr>
      <w:rPr>
        <w:rFonts w:hint="default"/>
        <w:lang w:val="tr-TR" w:eastAsia="tr-TR" w:bidi="tr-TR"/>
      </w:rPr>
    </w:lvl>
  </w:abstractNum>
  <w:abstractNum w:abstractNumId="7">
    <w:nsid w:val="6372686A"/>
    <w:multiLevelType w:val="hybridMultilevel"/>
    <w:tmpl w:val="CD5E4B60"/>
    <w:lvl w:ilvl="0" w:tplc="00AAC7A2">
      <w:start w:val="1"/>
      <w:numFmt w:val="lowerLetter"/>
      <w:lvlText w:val="%1)"/>
      <w:lvlJc w:val="left"/>
      <w:pPr>
        <w:ind w:left="112" w:hanging="204"/>
      </w:pPr>
      <w:rPr>
        <w:rFonts w:ascii="Arial" w:eastAsia="Arial" w:hAnsi="Arial" w:cs="Arial" w:hint="default"/>
        <w:w w:val="99"/>
        <w:sz w:val="18"/>
        <w:szCs w:val="18"/>
        <w:lang w:val="tr-TR" w:eastAsia="tr-TR" w:bidi="tr-TR"/>
      </w:rPr>
    </w:lvl>
    <w:lvl w:ilvl="1" w:tplc="25800028">
      <w:numFmt w:val="bullet"/>
      <w:lvlText w:val="•"/>
      <w:lvlJc w:val="left"/>
      <w:pPr>
        <w:ind w:left="1152" w:hanging="204"/>
      </w:pPr>
      <w:rPr>
        <w:rFonts w:hint="default"/>
        <w:lang w:val="tr-TR" w:eastAsia="tr-TR" w:bidi="tr-TR"/>
      </w:rPr>
    </w:lvl>
    <w:lvl w:ilvl="2" w:tplc="5C6E7BBC">
      <w:numFmt w:val="bullet"/>
      <w:lvlText w:val="•"/>
      <w:lvlJc w:val="left"/>
      <w:pPr>
        <w:ind w:left="2185" w:hanging="204"/>
      </w:pPr>
      <w:rPr>
        <w:rFonts w:hint="default"/>
        <w:lang w:val="tr-TR" w:eastAsia="tr-TR" w:bidi="tr-TR"/>
      </w:rPr>
    </w:lvl>
    <w:lvl w:ilvl="3" w:tplc="573E74B2">
      <w:numFmt w:val="bullet"/>
      <w:lvlText w:val="•"/>
      <w:lvlJc w:val="left"/>
      <w:pPr>
        <w:ind w:left="3217" w:hanging="204"/>
      </w:pPr>
      <w:rPr>
        <w:rFonts w:hint="default"/>
        <w:lang w:val="tr-TR" w:eastAsia="tr-TR" w:bidi="tr-TR"/>
      </w:rPr>
    </w:lvl>
    <w:lvl w:ilvl="4" w:tplc="46E65CAC">
      <w:numFmt w:val="bullet"/>
      <w:lvlText w:val="•"/>
      <w:lvlJc w:val="left"/>
      <w:pPr>
        <w:ind w:left="4250" w:hanging="204"/>
      </w:pPr>
      <w:rPr>
        <w:rFonts w:hint="default"/>
        <w:lang w:val="tr-TR" w:eastAsia="tr-TR" w:bidi="tr-TR"/>
      </w:rPr>
    </w:lvl>
    <w:lvl w:ilvl="5" w:tplc="A83C849E">
      <w:numFmt w:val="bullet"/>
      <w:lvlText w:val="•"/>
      <w:lvlJc w:val="left"/>
      <w:pPr>
        <w:ind w:left="5283" w:hanging="204"/>
      </w:pPr>
      <w:rPr>
        <w:rFonts w:hint="default"/>
        <w:lang w:val="tr-TR" w:eastAsia="tr-TR" w:bidi="tr-TR"/>
      </w:rPr>
    </w:lvl>
    <w:lvl w:ilvl="6" w:tplc="444A4248">
      <w:numFmt w:val="bullet"/>
      <w:lvlText w:val="•"/>
      <w:lvlJc w:val="left"/>
      <w:pPr>
        <w:ind w:left="6315" w:hanging="204"/>
      </w:pPr>
      <w:rPr>
        <w:rFonts w:hint="default"/>
        <w:lang w:val="tr-TR" w:eastAsia="tr-TR" w:bidi="tr-TR"/>
      </w:rPr>
    </w:lvl>
    <w:lvl w:ilvl="7" w:tplc="233C29F8">
      <w:numFmt w:val="bullet"/>
      <w:lvlText w:val="•"/>
      <w:lvlJc w:val="left"/>
      <w:pPr>
        <w:ind w:left="7348" w:hanging="204"/>
      </w:pPr>
      <w:rPr>
        <w:rFonts w:hint="default"/>
        <w:lang w:val="tr-TR" w:eastAsia="tr-TR" w:bidi="tr-TR"/>
      </w:rPr>
    </w:lvl>
    <w:lvl w:ilvl="8" w:tplc="8FE23EA0">
      <w:numFmt w:val="bullet"/>
      <w:lvlText w:val="•"/>
      <w:lvlJc w:val="left"/>
      <w:pPr>
        <w:ind w:left="8381" w:hanging="204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CA"/>
    <w:rsid w:val="000B75CA"/>
    <w:rsid w:val="00B35E54"/>
    <w:rsid w:val="00BA21AC"/>
    <w:rsid w:val="00C5473F"/>
    <w:rsid w:val="00D85263"/>
    <w:rsid w:val="00DE6BC4"/>
    <w:rsid w:val="00E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A4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0B75CA"/>
    <w:pPr>
      <w:keepNext/>
      <w:widowControl w:val="0"/>
      <w:spacing w:after="0" w:line="240" w:lineRule="auto"/>
      <w:ind w:right="170"/>
      <w:jc w:val="both"/>
      <w:outlineLvl w:val="1"/>
    </w:pPr>
    <w:rPr>
      <w:rFonts w:ascii="Arial" w:eastAsia="Times New Roman" w:hAnsi="Arial" w:cs="Arial"/>
      <w:b/>
      <w:noProof/>
      <w:kern w:val="1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B75CA"/>
    <w:rPr>
      <w:rFonts w:ascii="Arial" w:eastAsia="Times New Roman" w:hAnsi="Arial" w:cs="Arial"/>
      <w:b/>
      <w:noProof/>
      <w:kern w:val="16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EA4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A4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0B75CA"/>
    <w:pPr>
      <w:keepNext/>
      <w:widowControl w:val="0"/>
      <w:spacing w:after="0" w:line="240" w:lineRule="auto"/>
      <w:ind w:right="170"/>
      <w:jc w:val="both"/>
      <w:outlineLvl w:val="1"/>
    </w:pPr>
    <w:rPr>
      <w:rFonts w:ascii="Arial" w:eastAsia="Times New Roman" w:hAnsi="Arial" w:cs="Arial"/>
      <w:b/>
      <w:noProof/>
      <w:kern w:val="1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B75CA"/>
    <w:rPr>
      <w:rFonts w:ascii="Arial" w:eastAsia="Times New Roman" w:hAnsi="Arial" w:cs="Arial"/>
      <w:b/>
      <w:noProof/>
      <w:kern w:val="16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EA4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İzel SEDEN</dc:creator>
  <cp:lastModifiedBy>Seren KISAS</cp:lastModifiedBy>
  <cp:revision>4</cp:revision>
  <dcterms:created xsi:type="dcterms:W3CDTF">2018-12-10T07:34:00Z</dcterms:created>
  <dcterms:modified xsi:type="dcterms:W3CDTF">2018-12-10T08:00:00Z</dcterms:modified>
</cp:coreProperties>
</file>